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620C7A" w14:textId="094AB28B" w:rsidR="00353565" w:rsidRDefault="00491CCB">
      <w:pPr>
        <w:spacing w:after="0" w:line="240" w:lineRule="auto"/>
        <w:ind w:right="283"/>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Human Dignity within the Circle of Reposts: Why Not Everything Viral is Worth Sharing?</w:t>
      </w:r>
    </w:p>
    <w:p w14:paraId="61855F96" w14:textId="77777777" w:rsidR="00353565" w:rsidRDefault="00353565">
      <w:pPr>
        <w:spacing w:after="0" w:line="240" w:lineRule="auto"/>
        <w:rPr>
          <w:rFonts w:ascii="Times New Roman" w:eastAsia="Times New Roman" w:hAnsi="Times New Roman" w:cs="Times New Roman"/>
          <w:b/>
          <w:bCs/>
        </w:rPr>
      </w:pPr>
    </w:p>
    <w:p w14:paraId="54B0F155" w14:textId="6611A018" w:rsidR="00353565" w:rsidRDefault="00151AE2">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Aisyah Currents</w:t>
      </w:r>
      <w:r w:rsidR="00AA33E5">
        <w:rPr>
          <w:rFonts w:ascii="Times New Roman" w:eastAsia="Times New Roman" w:hAnsi="Times New Roman" w:cs="Times New Roman"/>
          <w:b/>
          <w:bCs/>
          <w:vertAlign w:val="superscript"/>
        </w:rPr>
        <w:t>1</w:t>
      </w:r>
      <w:r>
        <w:rPr>
          <w:rFonts w:ascii="Times New Roman" w:eastAsia="Times New Roman" w:hAnsi="Times New Roman" w:cs="Times New Roman"/>
          <w:b/>
          <w:bCs/>
        </w:rPr>
        <w:t>, Hendri Irawan, M.Pd</w:t>
      </w:r>
      <w:r w:rsidR="00AA33E5">
        <w:rPr>
          <w:rFonts w:ascii="Times New Roman" w:eastAsia="Times New Roman" w:hAnsi="Times New Roman" w:cs="Times New Roman"/>
          <w:b/>
          <w:bCs/>
          <w:vertAlign w:val="superscript"/>
        </w:rPr>
        <w:t>2</w:t>
      </w:r>
      <w:r>
        <w:rPr>
          <w:rFonts w:ascii="Times New Roman" w:eastAsia="Times New Roman" w:hAnsi="Times New Roman" w:cs="Times New Roman"/>
          <w:b/>
          <w:bCs/>
        </w:rPr>
        <w:t xml:space="preserve"> </w:t>
      </w:r>
    </w:p>
    <w:p w14:paraId="23271CAD" w14:textId="5F3D3B00" w:rsidR="00353565" w:rsidRDefault="00AA33E5">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 xml:space="preserve">1  </w:t>
      </w:r>
      <w:r w:rsidR="00625CE5">
        <w:rPr>
          <w:rFonts w:ascii="Times New Roman" w:eastAsia="Times New Roman" w:hAnsi="Times New Roman" w:cs="Times New Roman"/>
          <w:sz w:val="18"/>
          <w:szCs w:val="18"/>
        </w:rPr>
        <w:t>Faculty of Vocational Studies, Universitas Negeri Surabaya, Indonesia</w:t>
      </w:r>
      <w:r>
        <w:rPr>
          <w:rFonts w:ascii="Times New Roman" w:eastAsia="Times New Roman" w:hAnsi="Times New Roman" w:cs="Times New Roman"/>
          <w:sz w:val="18"/>
          <w:szCs w:val="18"/>
        </w:rPr>
        <w:t xml:space="preserve"> </w:t>
      </w:r>
    </w:p>
    <w:p w14:paraId="2E83E7AC" w14:textId="59BE3A1C" w:rsidR="00353565" w:rsidRDefault="00AA33E5">
      <w:pPr>
        <w:tabs>
          <w:tab w:val="left" w:pos="6030"/>
        </w:tabs>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2</w:t>
      </w:r>
      <w:r w:rsidR="00625CE5">
        <w:rPr>
          <w:rFonts w:ascii="Times New Roman" w:eastAsia="Times New Roman" w:hAnsi="Times New Roman" w:cs="Times New Roman"/>
          <w:sz w:val="18"/>
          <w:szCs w:val="18"/>
        </w:rPr>
        <w:t xml:space="preserve"> Faculty of Social and Political Sciences, Indonesia</w:t>
      </w:r>
      <w:r>
        <w:rPr>
          <w:rFonts w:ascii="Times New Roman" w:eastAsia="Times New Roman" w:hAnsi="Times New Roman" w:cs="Times New Roman"/>
          <w:sz w:val="18"/>
          <w:szCs w:val="18"/>
        </w:rPr>
        <w:tab/>
      </w:r>
    </w:p>
    <w:p w14:paraId="155B8EA0" w14:textId="77773B0C" w:rsidR="00353565" w:rsidRDefault="00151AE2">
      <w:pPr>
        <w:rPr>
          <w:rFonts w:ascii="Times New Roman" w:eastAsia="Times New Roman" w:hAnsi="Times New Roman" w:cs="Times New Roman"/>
          <w:i/>
          <w:iCs/>
          <w:sz w:val="18"/>
          <w:szCs w:val="18"/>
        </w:rPr>
      </w:pPr>
      <w:bookmarkStart w:id="0" w:name="_heading=h.ttstmg6x0aa" w:colFirst="0" w:colLast="0"/>
      <w:bookmarkEnd w:id="0"/>
      <w:r>
        <w:rPr>
          <w:rFonts w:ascii="Times New Roman" w:eastAsia="Times New Roman" w:hAnsi="Times New Roman" w:cs="Times New Roman"/>
          <w:i/>
          <w:iCs/>
          <w:sz w:val="18"/>
          <w:szCs w:val="18"/>
        </w:rPr>
        <w:t xml:space="preserve">Correspondence: </w:t>
      </w:r>
      <w:r w:rsidR="00B12559">
        <w:rPr>
          <w:rFonts w:ascii="Times New Roman" w:eastAsia="Times New Roman" w:hAnsi="Times New Roman" w:cs="Times New Roman"/>
          <w:i/>
          <w:iCs/>
          <w:sz w:val="18"/>
          <w:szCs w:val="18"/>
        </w:rPr>
        <w:t>25091397108@mhs.unesa.ac.id</w:t>
      </w:r>
    </w:p>
    <w:tbl>
      <w:tblPr>
        <w:tblStyle w:val="2"/>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
        <w:gridCol w:w="6129"/>
      </w:tblGrid>
      <w:tr w:rsidR="00353565" w14:paraId="64A75690" w14:textId="77777777">
        <w:tc>
          <w:tcPr>
            <w:tcW w:w="2802" w:type="dxa"/>
            <w:tcBorders>
              <w:top w:val="single" w:sz="4" w:space="0" w:color="000000"/>
              <w:left w:val="nil"/>
              <w:bottom w:val="single" w:sz="4" w:space="0" w:color="000000"/>
              <w:right w:val="nil"/>
            </w:tcBorders>
          </w:tcPr>
          <w:p w14:paraId="747B3B22" w14:textId="77777777" w:rsidR="00353565" w:rsidRDefault="00AA33E5">
            <w:pPr>
              <w:jc w:val="both"/>
              <w:rPr>
                <w:rFonts w:ascii="Lustria" w:eastAsia="Lustria" w:hAnsi="Lustria" w:cs="Lustria"/>
                <w:b/>
                <w:bCs/>
              </w:rPr>
            </w:pPr>
            <w:r>
              <w:rPr>
                <w:rFonts w:ascii="Lustria" w:eastAsia="Lustria" w:hAnsi="Lustria" w:cs="Lustria"/>
                <w:b/>
                <w:bCs/>
              </w:rPr>
              <w:t>Article Info</w:t>
            </w:r>
          </w:p>
        </w:tc>
        <w:tc>
          <w:tcPr>
            <w:tcW w:w="283" w:type="dxa"/>
            <w:tcBorders>
              <w:top w:val="single" w:sz="4" w:space="0" w:color="000000"/>
              <w:left w:val="nil"/>
              <w:bottom w:val="nil"/>
              <w:right w:val="nil"/>
            </w:tcBorders>
          </w:tcPr>
          <w:p w14:paraId="36986B3B" w14:textId="77777777" w:rsidR="00353565" w:rsidRDefault="00353565">
            <w:pPr>
              <w:jc w:val="center"/>
              <w:rPr>
                <w:rFonts w:ascii="Lustria" w:eastAsia="Lustria" w:hAnsi="Lustria" w:cs="Lustria"/>
              </w:rPr>
            </w:pPr>
          </w:p>
        </w:tc>
        <w:tc>
          <w:tcPr>
            <w:tcW w:w="6129" w:type="dxa"/>
            <w:tcBorders>
              <w:top w:val="single" w:sz="4" w:space="0" w:color="000000"/>
              <w:left w:val="nil"/>
              <w:bottom w:val="single" w:sz="4" w:space="0" w:color="000000"/>
              <w:right w:val="nil"/>
            </w:tcBorders>
          </w:tcPr>
          <w:p w14:paraId="10569539" w14:textId="228F544E" w:rsidR="00353565" w:rsidRDefault="00AA33E5">
            <w:pPr>
              <w:rPr>
                <w:rFonts w:ascii="Lustria" w:eastAsia="Lustria" w:hAnsi="Lustria" w:cs="Lustria"/>
                <w:color w:val="000000"/>
                <w:sz w:val="24"/>
                <w:szCs w:val="24"/>
              </w:rPr>
            </w:pPr>
            <w:r>
              <w:rPr>
                <w:rFonts w:ascii="Lustria" w:eastAsia="Lustria" w:hAnsi="Lustria" w:cs="Lustria"/>
                <w:b/>
                <w:bCs/>
                <w:color w:val="000000"/>
              </w:rPr>
              <w:t xml:space="preserve">ABSTRACT </w:t>
            </w:r>
          </w:p>
        </w:tc>
      </w:tr>
      <w:tr w:rsidR="00353565" w14:paraId="3D1B5484" w14:textId="77777777">
        <w:trPr>
          <w:trHeight w:val="1268"/>
        </w:trPr>
        <w:tc>
          <w:tcPr>
            <w:tcW w:w="2802" w:type="dxa"/>
            <w:tcBorders>
              <w:top w:val="single" w:sz="4" w:space="0" w:color="000000"/>
              <w:left w:val="nil"/>
              <w:bottom w:val="single" w:sz="4" w:space="0" w:color="000000"/>
              <w:right w:val="nil"/>
            </w:tcBorders>
          </w:tcPr>
          <w:p w14:paraId="02B0CE9F" w14:textId="77777777" w:rsidR="00353565" w:rsidRDefault="00AA33E5">
            <w:pPr>
              <w:jc w:val="both"/>
              <w:rPr>
                <w:rFonts w:ascii="Lustria" w:eastAsia="Lustria" w:hAnsi="Lustria" w:cs="Lustria"/>
                <w:b/>
                <w:bCs/>
              </w:rPr>
            </w:pPr>
            <w:r>
              <w:rPr>
                <w:rFonts w:ascii="Lustria" w:eastAsia="Lustria" w:hAnsi="Lustria" w:cs="Lustria"/>
                <w:b/>
                <w:bCs/>
              </w:rPr>
              <w:t>Article history:</w:t>
            </w:r>
          </w:p>
          <w:p w14:paraId="53F36A59" w14:textId="77777777" w:rsidR="00353565" w:rsidRDefault="00AA33E5">
            <w:pPr>
              <w:jc w:val="both"/>
              <w:rPr>
                <w:sz w:val="18"/>
                <w:szCs w:val="18"/>
              </w:rPr>
            </w:pPr>
            <w:r>
              <w:rPr>
                <w:sz w:val="18"/>
                <w:szCs w:val="18"/>
              </w:rPr>
              <w:t>Received Jun 12</w:t>
            </w:r>
            <w:r>
              <w:rPr>
                <w:sz w:val="18"/>
                <w:szCs w:val="18"/>
                <w:vertAlign w:val="superscript"/>
              </w:rPr>
              <w:t>th</w:t>
            </w:r>
            <w:r>
              <w:rPr>
                <w:sz w:val="18"/>
                <w:szCs w:val="18"/>
              </w:rPr>
              <w:t>, 20xx</w:t>
            </w:r>
          </w:p>
          <w:p w14:paraId="3C43C834" w14:textId="519229DC" w:rsidR="00353565" w:rsidRDefault="00AA33E5">
            <w:pPr>
              <w:jc w:val="both"/>
              <w:rPr>
                <w:sz w:val="18"/>
                <w:szCs w:val="18"/>
              </w:rPr>
            </w:pPr>
            <w:r>
              <w:rPr>
                <w:sz w:val="18"/>
                <w:szCs w:val="18"/>
              </w:rPr>
              <w:t>Revised Aug 20</w:t>
            </w:r>
            <w:r>
              <w:rPr>
                <w:sz w:val="18"/>
                <w:szCs w:val="18"/>
                <w:vertAlign w:val="superscript"/>
              </w:rPr>
              <w:t>th</w:t>
            </w:r>
            <w:r>
              <w:rPr>
                <w:sz w:val="18"/>
                <w:szCs w:val="18"/>
              </w:rPr>
              <w:t>, 20xx</w:t>
            </w:r>
            <w:r w:rsidR="00625CE5">
              <w:rPr>
                <w:sz w:val="18"/>
                <w:szCs w:val="18"/>
              </w:rPr>
              <w:t>F</w:t>
            </w:r>
          </w:p>
          <w:p w14:paraId="0F6444A4" w14:textId="77777777" w:rsidR="00353565" w:rsidRDefault="00AA33E5">
            <w:pPr>
              <w:jc w:val="both"/>
              <w:rPr>
                <w:sz w:val="18"/>
                <w:szCs w:val="18"/>
              </w:rPr>
            </w:pPr>
            <w:r>
              <w:rPr>
                <w:sz w:val="18"/>
                <w:szCs w:val="18"/>
              </w:rPr>
              <w:t>Accepted Aug 26</w:t>
            </w:r>
            <w:r>
              <w:rPr>
                <w:sz w:val="18"/>
                <w:szCs w:val="18"/>
                <w:vertAlign w:val="superscript"/>
              </w:rPr>
              <w:t>th</w:t>
            </w:r>
            <w:r>
              <w:rPr>
                <w:sz w:val="18"/>
                <w:szCs w:val="18"/>
              </w:rPr>
              <w:t>, 20xx</w:t>
            </w:r>
          </w:p>
          <w:p w14:paraId="14AA0193" w14:textId="77777777" w:rsidR="00353565" w:rsidRDefault="00353565">
            <w:pPr>
              <w:jc w:val="both"/>
              <w:rPr>
                <w:rFonts w:ascii="Lustria" w:eastAsia="Lustria" w:hAnsi="Lustria" w:cs="Lustria"/>
              </w:rPr>
            </w:pPr>
          </w:p>
        </w:tc>
        <w:tc>
          <w:tcPr>
            <w:tcW w:w="283" w:type="dxa"/>
            <w:vMerge w:val="restart"/>
            <w:tcBorders>
              <w:top w:val="nil"/>
              <w:left w:val="nil"/>
              <w:bottom w:val="nil"/>
              <w:right w:val="nil"/>
            </w:tcBorders>
          </w:tcPr>
          <w:p w14:paraId="590B2E81" w14:textId="77777777" w:rsidR="00353565" w:rsidRDefault="00353565">
            <w:pPr>
              <w:jc w:val="both"/>
              <w:rPr>
                <w:rFonts w:ascii="Lustria" w:eastAsia="Lustria" w:hAnsi="Lustria" w:cs="Lustria"/>
              </w:rPr>
            </w:pPr>
          </w:p>
        </w:tc>
        <w:tc>
          <w:tcPr>
            <w:tcW w:w="6129" w:type="dxa"/>
            <w:vMerge w:val="restart"/>
            <w:tcBorders>
              <w:top w:val="single" w:sz="4" w:space="0" w:color="000000"/>
              <w:left w:val="nil"/>
              <w:bottom w:val="nil"/>
              <w:right w:val="nil"/>
            </w:tcBorders>
          </w:tcPr>
          <w:p w14:paraId="1D03FD5B" w14:textId="398E48E5" w:rsidR="00353565" w:rsidRDefault="00491CCB" w:rsidP="00491CCB">
            <w:pPr>
              <w:ind w:right="-70"/>
              <w:jc w:val="both"/>
            </w:pPr>
            <w:r w:rsidRPr="00491CCB">
              <w:rPr>
                <w:color w:val="000000"/>
                <w:sz w:val="18"/>
                <w:szCs w:val="18"/>
              </w:rPr>
              <w:t>In the rapidly evolving digital landscape, the repost feature has become a double edged sword capable of amplifying both social solidarity and character assassination. This article explores the urgent need to actualize the second principle of Pancasila, Just and Civilized Humanity, within the context of viral social media trends. While digital platforms encourage instantaneous sharing, they often bypass the ethical filter of human dignity, leading to the normalization of public shaming and privacy violations.</w:t>
            </w:r>
            <w:r>
              <w:t xml:space="preserve"> </w:t>
            </w:r>
            <w:r w:rsidRPr="00491CCB">
              <w:rPr>
                <w:color w:val="000000"/>
                <w:sz w:val="18"/>
                <w:szCs w:val="18"/>
              </w:rPr>
              <w:t xml:space="preserve">Through a qualitative analysis of recent viral phenomena, this study argues that not all trending content is worthy of distribution. The act of sharing without verification or empathy constitutes a degradation of civilized values in the virtual sphere. The findings emphasize that actualizing Pancasila in the digital era requires more than just technical literacy. It demands ethical literacy where netizens treat digital subjects as humans with inherent rights and dignity. Ultimately, this article proposes that the repost button should be used as a tool for justice and compassion rather than a weapon of dehumanization, ensuring that Indonesian digital culture remains rooted in its foundational humanitarian values. </w:t>
            </w:r>
          </w:p>
        </w:tc>
      </w:tr>
      <w:tr w:rsidR="00353565" w14:paraId="1A3590A5" w14:textId="77777777">
        <w:trPr>
          <w:trHeight w:val="1231"/>
        </w:trPr>
        <w:tc>
          <w:tcPr>
            <w:tcW w:w="2802" w:type="dxa"/>
            <w:vMerge w:val="restart"/>
            <w:tcBorders>
              <w:top w:val="single" w:sz="4" w:space="0" w:color="000000"/>
              <w:left w:val="nil"/>
              <w:bottom w:val="single" w:sz="4" w:space="0" w:color="000000"/>
              <w:right w:val="nil"/>
            </w:tcBorders>
          </w:tcPr>
          <w:p w14:paraId="5C86183B" w14:textId="77777777" w:rsidR="00353565" w:rsidRDefault="00AA33E5">
            <w:pPr>
              <w:jc w:val="both"/>
              <w:rPr>
                <w:rFonts w:ascii="Lustria" w:eastAsia="Lustria" w:hAnsi="Lustria" w:cs="Lustria"/>
                <w:b/>
                <w:bCs/>
              </w:rPr>
            </w:pPr>
            <w:r>
              <w:rPr>
                <w:rFonts w:ascii="Lustria" w:eastAsia="Lustria" w:hAnsi="Lustria" w:cs="Lustria"/>
                <w:b/>
                <w:bCs/>
              </w:rPr>
              <w:t>Keyword:</w:t>
            </w:r>
          </w:p>
          <w:p w14:paraId="1F5C65D4" w14:textId="74945859" w:rsidR="00353565" w:rsidRDefault="00491CCB" w:rsidP="005B484C">
            <w:pPr>
              <w:rPr>
                <w:b/>
                <w:bCs/>
                <w:i/>
                <w:iCs/>
              </w:rPr>
            </w:pPr>
            <w:r>
              <w:rPr>
                <w:sz w:val="18"/>
                <w:szCs w:val="18"/>
              </w:rPr>
              <w:t>Human Dignity; Repost Culture; Pancasila</w:t>
            </w:r>
            <w:r w:rsidR="005B484C">
              <w:rPr>
                <w:sz w:val="18"/>
                <w:szCs w:val="18"/>
              </w:rPr>
              <w:t>; Digital Ethics; Viral Content</w:t>
            </w:r>
            <w:r w:rsidR="00AA33E5">
              <w:rPr>
                <w:sz w:val="18"/>
                <w:szCs w:val="18"/>
              </w:rPr>
              <w:t xml:space="preserve">. </w:t>
            </w:r>
          </w:p>
        </w:tc>
        <w:tc>
          <w:tcPr>
            <w:tcW w:w="283" w:type="dxa"/>
            <w:vMerge/>
            <w:tcBorders>
              <w:top w:val="nil"/>
              <w:left w:val="nil"/>
              <w:bottom w:val="nil"/>
              <w:right w:val="nil"/>
            </w:tcBorders>
          </w:tcPr>
          <w:p w14:paraId="36BB3A0D" w14:textId="77777777" w:rsidR="00353565" w:rsidRDefault="00353565">
            <w:pPr>
              <w:widowControl w:val="0"/>
              <w:pBdr>
                <w:top w:val="nil"/>
                <w:left w:val="nil"/>
                <w:bottom w:val="nil"/>
                <w:right w:val="nil"/>
                <w:between w:val="nil"/>
              </w:pBdr>
              <w:spacing w:line="276" w:lineRule="auto"/>
              <w:rPr>
                <w:b/>
                <w:bCs/>
                <w:i/>
                <w:iCs/>
              </w:rPr>
            </w:pPr>
          </w:p>
        </w:tc>
        <w:tc>
          <w:tcPr>
            <w:tcW w:w="6129" w:type="dxa"/>
            <w:vMerge/>
            <w:tcBorders>
              <w:top w:val="single" w:sz="4" w:space="0" w:color="000000"/>
              <w:left w:val="nil"/>
              <w:bottom w:val="nil"/>
              <w:right w:val="nil"/>
            </w:tcBorders>
          </w:tcPr>
          <w:p w14:paraId="47AEDBDD" w14:textId="77777777" w:rsidR="00353565" w:rsidRDefault="00353565">
            <w:pPr>
              <w:widowControl w:val="0"/>
              <w:pBdr>
                <w:top w:val="nil"/>
                <w:left w:val="nil"/>
                <w:bottom w:val="nil"/>
                <w:right w:val="nil"/>
                <w:between w:val="nil"/>
              </w:pBdr>
              <w:spacing w:line="276" w:lineRule="auto"/>
              <w:rPr>
                <w:b/>
                <w:bCs/>
                <w:i/>
                <w:iCs/>
              </w:rPr>
            </w:pPr>
          </w:p>
        </w:tc>
      </w:tr>
      <w:tr w:rsidR="00353565" w14:paraId="4D3057AF" w14:textId="77777777">
        <w:trPr>
          <w:trHeight w:val="70"/>
        </w:trPr>
        <w:tc>
          <w:tcPr>
            <w:tcW w:w="2802" w:type="dxa"/>
            <w:vMerge/>
            <w:tcBorders>
              <w:top w:val="single" w:sz="4" w:space="0" w:color="000000"/>
              <w:left w:val="nil"/>
              <w:bottom w:val="single" w:sz="4" w:space="0" w:color="000000"/>
              <w:right w:val="nil"/>
            </w:tcBorders>
          </w:tcPr>
          <w:p w14:paraId="13FAB7E0" w14:textId="77777777" w:rsidR="00353565" w:rsidRDefault="00353565">
            <w:pPr>
              <w:widowControl w:val="0"/>
              <w:pBdr>
                <w:top w:val="nil"/>
                <w:left w:val="nil"/>
                <w:bottom w:val="nil"/>
                <w:right w:val="nil"/>
                <w:between w:val="nil"/>
              </w:pBdr>
              <w:spacing w:line="276" w:lineRule="auto"/>
              <w:rPr>
                <w:b/>
                <w:bCs/>
                <w:i/>
                <w:iCs/>
              </w:rPr>
            </w:pPr>
          </w:p>
        </w:tc>
        <w:tc>
          <w:tcPr>
            <w:tcW w:w="283" w:type="dxa"/>
            <w:vMerge/>
            <w:tcBorders>
              <w:top w:val="nil"/>
              <w:left w:val="nil"/>
              <w:bottom w:val="nil"/>
              <w:right w:val="nil"/>
            </w:tcBorders>
          </w:tcPr>
          <w:p w14:paraId="146CCD1E" w14:textId="77777777" w:rsidR="00353565" w:rsidRDefault="00353565">
            <w:pPr>
              <w:widowControl w:val="0"/>
              <w:pBdr>
                <w:top w:val="nil"/>
                <w:left w:val="nil"/>
                <w:bottom w:val="nil"/>
                <w:right w:val="nil"/>
                <w:between w:val="nil"/>
              </w:pBdr>
              <w:spacing w:line="276" w:lineRule="auto"/>
              <w:rPr>
                <w:b/>
                <w:bCs/>
                <w:i/>
                <w:iCs/>
              </w:rPr>
            </w:pPr>
          </w:p>
        </w:tc>
        <w:tc>
          <w:tcPr>
            <w:tcW w:w="6129" w:type="dxa"/>
            <w:tcBorders>
              <w:top w:val="single" w:sz="4" w:space="0" w:color="000000"/>
              <w:left w:val="nil"/>
              <w:bottom w:val="single" w:sz="4" w:space="0" w:color="000000"/>
              <w:right w:val="nil"/>
            </w:tcBorders>
          </w:tcPr>
          <w:p w14:paraId="2D05A8FA" w14:textId="77777777" w:rsidR="00353565" w:rsidRDefault="00AA33E5">
            <w:pPr>
              <w:ind w:left="1056" w:hanging="1056"/>
            </w:pPr>
            <w:r>
              <w:rPr>
                <w:sz w:val="16"/>
                <w:szCs w:val="16"/>
              </w:rPr>
              <w:t xml:space="preserve">© </w:t>
            </w:r>
            <w:r>
              <w:rPr>
                <w:sz w:val="15"/>
                <w:szCs w:val="15"/>
              </w:rPr>
              <w:t>2025 The Authors. Published by Edukarya. This is an open access article under the CC BY license (https://creativecommons.org/licenses/by/4.0/)</w:t>
            </w:r>
            <w:r>
              <w:rPr>
                <w:noProof/>
                <w:lang w:val="en-US" w:eastAsia="en-US"/>
              </w:rPr>
              <w:drawing>
                <wp:anchor distT="0" distB="0" distL="114300" distR="114300" simplePos="0" relativeHeight="251658240" behindDoc="0" locked="0" layoutInCell="1" hidden="0" allowOverlap="1" wp14:anchorId="505B7DA9" wp14:editId="60F0AB83">
                  <wp:simplePos x="0" y="0"/>
                  <wp:positionH relativeFrom="column">
                    <wp:posOffset>-17777</wp:posOffset>
                  </wp:positionH>
                  <wp:positionV relativeFrom="paragraph">
                    <wp:posOffset>56515</wp:posOffset>
                  </wp:positionV>
                  <wp:extent cx="563245" cy="196850"/>
                  <wp:effectExtent l="0" t="0" r="0" b="0"/>
                  <wp:wrapSquare wrapText="bothSides" distT="0" distB="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63245" cy="196850"/>
                          </a:xfrm>
                          <a:prstGeom prst="rect">
                            <a:avLst/>
                          </a:prstGeom>
                          <a:ln/>
                        </pic:spPr>
                      </pic:pic>
                    </a:graphicData>
                  </a:graphic>
                </wp:anchor>
              </w:drawing>
            </w:r>
          </w:p>
        </w:tc>
      </w:tr>
    </w:tbl>
    <w:p w14:paraId="52A0BEBF" w14:textId="77777777" w:rsidR="00353565" w:rsidRDefault="00353565"/>
    <w:p w14:paraId="7BC28DFC" w14:textId="77777777"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INTRODUCTION (Capital, bold, Times new romance 11 pt)</w:t>
      </w:r>
    </w:p>
    <w:p w14:paraId="6851A787" w14:textId="77777777" w:rsidR="00B2048A" w:rsidRDefault="00B2048A">
      <w:pPr>
        <w:spacing w:after="0" w:line="240" w:lineRule="auto"/>
        <w:ind w:firstLine="720"/>
        <w:jc w:val="both"/>
        <w:rPr>
          <w:rFonts w:ascii="Times New Roman" w:eastAsia="Times New Roman" w:hAnsi="Times New Roman" w:cs="Times New Roman"/>
        </w:rPr>
      </w:pPr>
      <w:r w:rsidRPr="00B2048A">
        <w:rPr>
          <w:rFonts w:ascii="Times New Roman" w:eastAsia="Times New Roman" w:hAnsi="Times New Roman" w:cs="Times New Roman"/>
        </w:rPr>
        <w:t>The rapid evolution of digital communication has transformed the social media "repost" feature into a powerful mechanism for information dissemination, yet it simultaneously presents a significant threat to the preservation of human dignity. In the Indonesian context, this digital phenomenon directly challenges the actualization of the second principle of Pancasila, "Just and Civilized Humanity," which mandates that every individual be treated with the respect and dignit</w:t>
      </w:r>
      <w:r>
        <w:rPr>
          <w:rFonts w:ascii="Times New Roman" w:eastAsia="Times New Roman" w:hAnsi="Times New Roman" w:cs="Times New Roman"/>
        </w:rPr>
        <w:t>y they deserve as human beings.</w:t>
      </w:r>
    </w:p>
    <w:p w14:paraId="12A96BD2" w14:textId="77777777" w:rsidR="00CA678F" w:rsidRDefault="00B2048A" w:rsidP="00CA678F">
      <w:pPr>
        <w:spacing w:after="0" w:line="240" w:lineRule="auto"/>
        <w:ind w:firstLine="720"/>
        <w:jc w:val="both"/>
        <w:rPr>
          <w:rFonts w:ascii="Times New Roman" w:eastAsia="Times New Roman" w:hAnsi="Times New Roman" w:cs="Times New Roman"/>
        </w:rPr>
      </w:pPr>
      <w:r w:rsidRPr="00B2048A">
        <w:rPr>
          <w:rFonts w:ascii="Times New Roman" w:eastAsia="Times New Roman" w:hAnsi="Times New Roman" w:cs="Times New Roman"/>
        </w:rPr>
        <w:t xml:space="preserve">While viral content can be a force for social good, such as mobilizing aid or seeking justice, the contemporary digital landscape is frequently marred by the "dark side" of virality, including public shaming, doxing, and the exploitation of personal misfortune for engagement. Previous research has extensively discussed the general ethics of social media; for instance, D’Souza et al. (2021) highlight the ethical complexities of disseminating public data without considering the potential harm to vulnerable groups. Similarly, research by Fatimah and Dewi (2021) emphasizes that the second principle of Pancasila must serve as the foundation for protecting human rights in the face of globalization. </w:t>
      </w:r>
    </w:p>
    <w:p w14:paraId="67C2662D" w14:textId="77777777" w:rsidR="0080683B" w:rsidRDefault="00CA678F" w:rsidP="00CA678F">
      <w:pPr>
        <w:spacing w:after="0" w:line="240" w:lineRule="auto"/>
        <w:ind w:firstLine="720"/>
        <w:jc w:val="both"/>
        <w:rPr>
          <w:rFonts w:ascii="Times New Roman" w:eastAsia="Times New Roman" w:hAnsi="Times New Roman" w:cs="Times New Roman"/>
        </w:rPr>
      </w:pPr>
      <w:r w:rsidRPr="00CA678F">
        <w:rPr>
          <w:rFonts w:ascii="Times New Roman" w:eastAsia="Times New Roman" w:hAnsi="Times New Roman" w:cs="Times New Roman"/>
        </w:rPr>
        <w:t>However, there remains a critical gap in literature regarding the specific intersection of the "</w:t>
      </w:r>
      <w:r>
        <w:rPr>
          <w:rFonts w:ascii="Times New Roman" w:eastAsia="Times New Roman" w:hAnsi="Times New Roman" w:cs="Times New Roman"/>
        </w:rPr>
        <w:t xml:space="preserve">repost" mechanism, a technical feature </w:t>
      </w:r>
      <w:r w:rsidRPr="00CA678F">
        <w:rPr>
          <w:rFonts w:ascii="Times New Roman" w:eastAsia="Times New Roman" w:hAnsi="Times New Roman" w:cs="Times New Roman"/>
        </w:rPr>
        <w:t xml:space="preserve">and the moral degradation of humanitarian values when content goes viral without ethical filtering. This article aims to analyze the urgency of reintegrating Pancasila’s humanitarian values into digital behavior, specifically focusing on the ethics of the repost feature. The objective is to provide a conceptual framework for "ethical literacy" that transcends basic digital skills, ensuring that viral trends do not override the sanctity of human dignity. </w:t>
      </w:r>
    </w:p>
    <w:p w14:paraId="04C8779A" w14:textId="77777777" w:rsidR="0080683B" w:rsidRDefault="00CA678F" w:rsidP="0080683B">
      <w:pPr>
        <w:spacing w:after="0" w:line="240" w:lineRule="auto"/>
        <w:ind w:firstLine="720"/>
        <w:jc w:val="both"/>
        <w:rPr>
          <w:rFonts w:ascii="Times New Roman" w:eastAsia="Times New Roman" w:hAnsi="Times New Roman" w:cs="Times New Roman"/>
        </w:rPr>
      </w:pPr>
      <w:r w:rsidRPr="00CA678F">
        <w:rPr>
          <w:rFonts w:ascii="Times New Roman" w:eastAsia="Times New Roman" w:hAnsi="Times New Roman" w:cs="Times New Roman"/>
        </w:rPr>
        <w:t xml:space="preserve">The contribution of this research lies in its dual benefit: theoretically, it enriches the discourse on digital citizenship within the framework of Indonesian national ideology; practically, it offers a moral compass for netizens to navigate the pressure of viral culture. While earlier studies such as those by Maihasni et al. (2025) focus on how social media usage reduces empathy within family structures, and Yusof et al. (2024) explore Islamic legal perspectives on reposting unverified info, this article </w:t>
      </w:r>
      <w:r w:rsidRPr="00CA678F">
        <w:rPr>
          <w:rFonts w:ascii="Times New Roman" w:eastAsia="Times New Roman" w:hAnsi="Times New Roman" w:cs="Times New Roman"/>
        </w:rPr>
        <w:lastRenderedPageBreak/>
        <w:t xml:space="preserve">identifies its novelty by positioning the "repost" action not merely as a technical or legal issue, but as a direct litmus </w:t>
      </w:r>
      <w:r>
        <w:rPr>
          <w:rFonts w:ascii="Times New Roman" w:eastAsia="Times New Roman" w:hAnsi="Times New Roman" w:cs="Times New Roman"/>
        </w:rPr>
        <w:t xml:space="preserve">test for "civilized humanity." </w:t>
      </w:r>
    </w:p>
    <w:p w14:paraId="4EB07462"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originality of this work stems from its focus on the circularity of reposts where the speed of the algorithm often outpaces the deliberation of the conscience. It proposes that the actualization of Pancasila in the 2020s must manifest as a pause for reflection before sharing. By synthesizing modern digital ethics with the philosophical depth of Sila Ke-2, this research argues that the protection of human dignity in the digital era is an active responsibility that must be practiced with every click. This responsibility is not merely a personal choice but a civic duty that reflects the maturity of a nation in navigating the complexities of the information age. </w:t>
      </w:r>
    </w:p>
    <w:p w14:paraId="575E9D75" w14:textId="77777777" w:rsidR="0080683B" w:rsidRDefault="0080683B" w:rsidP="0080683B">
      <w:pPr>
        <w:spacing w:after="0" w:line="240" w:lineRule="auto"/>
        <w:ind w:firstLine="720"/>
        <w:jc w:val="both"/>
      </w:pPr>
      <w:r w:rsidRPr="0080683B">
        <w:rPr>
          <w:rFonts w:ascii="Times New Roman" w:eastAsia="Times New Roman" w:hAnsi="Times New Roman" w:cs="Times New Roman"/>
        </w:rPr>
        <w:t>The digital world is not a separate realm of existence but an extension of our physical reality where every action has real consequences for real people. Therefore, the concept of Just and Civilized Humanity must be the primary filter through which all digital interactions pass. When an individual chooses to repost a piece of content, they are not just moving data from one point to another; they are lending their personal credibility to that information and participating in its potential impact on the subject involved.</w:t>
      </w:r>
      <w:r w:rsidRPr="0080683B">
        <w:t xml:space="preserve"> </w:t>
      </w:r>
    </w:p>
    <w:p w14:paraId="0F93ED1E"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phenomenon of the circularity of reposts refers to the feedback loop created by social media algorithms that prioritize engagement over accuracy or ethics. In this environment, content that triggers strong emotional responses, such as anger or shock, is more likely to be shared repeatedly. This often leads to a situation where the dignity of an individual is sacrificed for the sake of viral momentum. Rogerson (2022) emphasizes that ethical competence in such a high speed environment requires a deliberate slowing down of the decision making process. </w:t>
      </w:r>
    </w:p>
    <w:p w14:paraId="45D8861F" w14:textId="38FC4275"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For Indonesians, this slowing down is the practical manifestation of being civilized. It is an acknowledgment that the person on the other side of the screen is a human being endowed with the same rights and honor as oneself. Without this ethical pause, the digital sphere risks becoming a modern colosseum where individuals are thrown to the masses for entertainment or public judgment. Fatimah and Dewi (2021) remind us that the second principle of Pancasila is not a static slogan but a dynamic shield that must be actively deployed to protect human rights against the dehumanizing tendencies of global digital trends.</w:t>
      </w:r>
    </w:p>
    <w:p w14:paraId="790639A0"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erosion of empathy identified by Maihasni et al. (2025) suggests that the constant exposure to viral content can lead to a desensitization of the human heart. When we see hundreds of reposts about someone’s failure or misfortune, we tend to forget that there is a real person experiencing real pain. This study proposes that the actualization of Pancasila must serve as an antidote to this digital desensitization. By treating the repost button as a moral gateway, netizens can reclaim their humanity from the grip of the algorithm. </w:t>
      </w:r>
    </w:p>
    <w:p w14:paraId="408E62F0" w14:textId="7EDD9A58"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This involves a critical assessment of the content’s origin, intent, and potential impact. Is this repost seeking to build up or to tear down? Does it provide justice or does it merely provide a spectacle? These are the questions that define a civilized digital citizen. Yusof and Ahmad (2024) highlight that in various ethical frameworks, including religious law, the dissemination of harmful information is a serious offense. By aligning these perspectives with Pancasila, this article establishes that being a good Indonesian citizen in the 2020s is synonymous with being a responsible digital actor.</w:t>
      </w:r>
    </w:p>
    <w:p w14:paraId="480415FA" w14:textId="68E01EB0"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In conclusion, this research argues that the future of Indonesian digital culture depends on our ability to integrate ancient wisdom with modern technology. The second principle of Pancasila provides a timeless framework for navigating the digital landscape, but its effectiveness depends on its practical application in the smallest of actions, such as a single repost. By advocating for a pause for reflection, this study seeks to transform the digital sphere from a place of chaotic viral cycles into a space of meaningful and respectful human connection. The protection of human dignity is not a burden but a privilege that allows us to remain truly human in an increasingly automated world. As we move forward, the actualization of Just and Civilized Humanity must remain our guiding light, ensuring that every click we make is a step toward a more just and dignified society for all.</w:t>
      </w:r>
    </w:p>
    <w:p w14:paraId="3321480B" w14:textId="77777777" w:rsidR="0080683B" w:rsidRDefault="0080683B">
      <w:pPr>
        <w:spacing w:after="0" w:line="240" w:lineRule="auto"/>
        <w:rPr>
          <w:rFonts w:ascii="Times New Roman" w:eastAsia="Times New Roman" w:hAnsi="Times New Roman" w:cs="Times New Roman"/>
        </w:rPr>
      </w:pPr>
    </w:p>
    <w:p w14:paraId="52E99F9F" w14:textId="1E9E1F3E"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RESEARCH METHODS</w:t>
      </w:r>
    </w:p>
    <w:p w14:paraId="679D8880"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research method includes the type of research, research population, research sample/subject, and technical data analysis. You can use multilevel numbering if necessary. Don't forget to provide a title and picture number (below the picture and serial number starting from number 1), as </w:t>
      </w:r>
      <w:r>
        <w:rPr>
          <w:rFonts w:ascii="Times New Roman" w:eastAsia="Times New Roman" w:hAnsi="Times New Roman" w:cs="Times New Roman"/>
        </w:rPr>
        <w:lastRenderedPageBreak/>
        <w:t>well as the title and table number</w:t>
      </w:r>
      <w:bookmarkStart w:id="1" w:name="_GoBack"/>
      <w:bookmarkEnd w:id="1"/>
      <w:r>
        <w:rPr>
          <w:rFonts w:ascii="Times New Roman" w:eastAsia="Times New Roman" w:hAnsi="Times New Roman" w:cs="Times New Roman"/>
        </w:rPr>
        <w:t xml:space="preserve"> (above the table with a serial number starting from number 1). (Times New Romance 11, before after 0).</w:t>
      </w:r>
    </w:p>
    <w:p w14:paraId="218A8C5D" w14:textId="77777777" w:rsidR="00353565" w:rsidRDefault="00353565">
      <w:pPr>
        <w:spacing w:after="0" w:line="240" w:lineRule="auto"/>
        <w:jc w:val="both"/>
        <w:rPr>
          <w:rFonts w:ascii="Times New Roman" w:eastAsia="Times New Roman" w:hAnsi="Times New Roman" w:cs="Times New Roman"/>
        </w:rPr>
      </w:pPr>
    </w:p>
    <w:p w14:paraId="5B379AE8" w14:textId="77777777"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7F3EAF49"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The results and discussion contain the findings of the research and scientific discussion. Research findings must be supported by adequate data. This section should answer the research hypothesis, and describe the comparison with the results of previous studies. The results and discussion at least contain (1) (what/how elements) whether the data presented has been processed (not raw data), set forth in the form of tables or figures, and given easy-to-understand explanations; (2) (the why element) in this discussion section shows a link between the results obtained and the basic concepts and/or hypotheses. The discussion must be supported by real and clear facts; and (3) (what else?  ), whether there is conformity or contradiction with the results of previous research. Avoid writing in the form of bullet numbering or list item models; preferably, even though it is a list item, it is still written in the form of descriptive paragraphs. Articles can be written in Indonesian or English. Articles must be written according to the template. The maximum number of pages is 20 pages with an A4 writing field size and a normal margin format (2.54 cm x 2.54 cm). Foreign words or terms use italics or italics. (Times New Romance 11, before after 0). When loading tables and figures, the numbering is a continuation of the previous number. Each table and figure must be given a title. (New Romance 11, before and after 0) </w:t>
      </w:r>
    </w:p>
    <w:p w14:paraId="22D79123" w14:textId="77777777" w:rsidR="00353565" w:rsidRDefault="00353565">
      <w:pPr>
        <w:tabs>
          <w:tab w:val="left" w:pos="360"/>
        </w:tabs>
        <w:spacing w:after="0" w:line="240" w:lineRule="auto"/>
        <w:jc w:val="both"/>
        <w:rPr>
          <w:rFonts w:ascii="Times New Roman" w:eastAsia="Times New Roman" w:hAnsi="Times New Roman" w:cs="Times New Roman"/>
          <w:b/>
          <w:bCs/>
        </w:rPr>
      </w:pPr>
    </w:p>
    <w:p w14:paraId="42E7AAE1" w14:textId="77777777" w:rsidR="00353565" w:rsidRDefault="00AA33E5">
      <w:pPr>
        <w:tabs>
          <w:tab w:val="left" w:pos="360"/>
        </w:tabs>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Table</w:t>
      </w:r>
    </w:p>
    <w:p w14:paraId="4C93584C"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The table is in the middle. Use Times New Roman and a font size of 8 to 11. Horizontal lines in the middle of the table do not need to be displayed; only the headings and the last part should be displayed, nor should there be vertical lines. Make sure you create the table correctly via the Insert Table menu. Tables should be referenced in the text by writing something like: "Tables are written with a big 'T'."</w:t>
      </w:r>
    </w:p>
    <w:p w14:paraId="4BAF3E4A" w14:textId="77777777" w:rsidR="00353565" w:rsidRDefault="00AA33E5">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CF57F31" w14:textId="77777777" w:rsidR="00353565" w:rsidRDefault="00AA33E5">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Table 1 The Title of The Table</w:t>
      </w:r>
    </w:p>
    <w:p w14:paraId="111D3A45" w14:textId="77777777" w:rsidR="00353565" w:rsidRDefault="00AA33E5">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(Capitalize Each Words and bold)</w:t>
      </w:r>
    </w:p>
    <w:tbl>
      <w:tblPr>
        <w:tblStyle w:val="1"/>
        <w:tblW w:w="4082" w:type="dxa"/>
        <w:jc w:val="center"/>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565"/>
        <w:gridCol w:w="2430"/>
        <w:gridCol w:w="1087"/>
      </w:tblGrid>
      <w:tr w:rsidR="00353565" w14:paraId="0FAC42B5" w14:textId="77777777">
        <w:trPr>
          <w:trHeight w:val="187"/>
          <w:jc w:val="center"/>
        </w:trPr>
        <w:tc>
          <w:tcPr>
            <w:tcW w:w="565" w:type="dxa"/>
            <w:tcBorders>
              <w:top w:val="single" w:sz="4" w:space="0" w:color="000000"/>
              <w:left w:val="nil"/>
              <w:bottom w:val="single" w:sz="4" w:space="0" w:color="000000"/>
              <w:right w:val="nil"/>
            </w:tcBorders>
          </w:tcPr>
          <w:p w14:paraId="295116C6" w14:textId="77777777" w:rsidR="00353565" w:rsidRDefault="00AA33E5">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w:t>
            </w:r>
          </w:p>
        </w:tc>
        <w:tc>
          <w:tcPr>
            <w:tcW w:w="2430" w:type="dxa"/>
            <w:tcBorders>
              <w:top w:val="single" w:sz="4" w:space="0" w:color="000000"/>
              <w:left w:val="nil"/>
              <w:bottom w:val="single" w:sz="4" w:space="0" w:color="000000"/>
              <w:right w:val="nil"/>
            </w:tcBorders>
          </w:tcPr>
          <w:p w14:paraId="26E37C21" w14:textId="77777777" w:rsidR="00353565" w:rsidRDefault="00AA33E5">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This line</w:t>
            </w:r>
          </w:p>
        </w:tc>
        <w:tc>
          <w:tcPr>
            <w:tcW w:w="1087" w:type="dxa"/>
            <w:tcBorders>
              <w:top w:val="single" w:sz="4" w:space="0" w:color="000000"/>
              <w:left w:val="nil"/>
              <w:bottom w:val="single" w:sz="4" w:space="0" w:color="000000"/>
              <w:right w:val="nil"/>
            </w:tcBorders>
          </w:tcPr>
          <w:p w14:paraId="001DBB6F" w14:textId="77777777" w:rsidR="00353565" w:rsidRDefault="00AA33E5">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italic</w:t>
            </w:r>
          </w:p>
        </w:tc>
      </w:tr>
      <w:tr w:rsidR="00353565" w14:paraId="536DEF3B" w14:textId="77777777">
        <w:trPr>
          <w:trHeight w:val="1394"/>
          <w:jc w:val="center"/>
        </w:trPr>
        <w:tc>
          <w:tcPr>
            <w:tcW w:w="565" w:type="dxa"/>
            <w:tcBorders>
              <w:top w:val="single" w:sz="4" w:space="0" w:color="000000"/>
              <w:left w:val="nil"/>
              <w:bottom w:val="single" w:sz="4" w:space="0" w:color="000000"/>
              <w:right w:val="nil"/>
            </w:tcBorders>
          </w:tcPr>
          <w:p w14:paraId="5E87C1C4" w14:textId="77777777" w:rsidR="00353565" w:rsidRDefault="00AA33E5">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30" w:type="dxa"/>
            <w:tcBorders>
              <w:top w:val="single" w:sz="4" w:space="0" w:color="000000"/>
              <w:left w:val="nil"/>
              <w:bottom w:val="single" w:sz="4" w:space="0" w:color="000000"/>
              <w:right w:val="nil"/>
            </w:tcBorders>
          </w:tcPr>
          <w:p w14:paraId="19216443" w14:textId="77777777" w:rsidR="00353565" w:rsidRDefault="00AA33E5">
            <w:pPr>
              <w:spacing w:after="0" w:line="240" w:lineRule="auto"/>
              <w:rPr>
                <w:rFonts w:ascii="Times New Roman" w:eastAsia="Times New Roman" w:hAnsi="Times New Roman" w:cs="Times New Roman"/>
              </w:rPr>
            </w:pPr>
            <w:r>
              <w:rPr>
                <w:rFonts w:ascii="Times New Roman" w:eastAsia="Times New Roman" w:hAnsi="Times New Roman" w:cs="Times New Roman"/>
              </w:rPr>
              <w:t>This table contents, if not enough, you can reduce the font size to 8 points. Don't go any smaller than this, unless you want your readers to hurt your eyes. :-)</w:t>
            </w:r>
          </w:p>
        </w:tc>
        <w:tc>
          <w:tcPr>
            <w:tcW w:w="1087" w:type="dxa"/>
            <w:tcBorders>
              <w:top w:val="single" w:sz="4" w:space="0" w:color="000000"/>
              <w:left w:val="nil"/>
              <w:bottom w:val="single" w:sz="4" w:space="0" w:color="000000"/>
              <w:right w:val="nil"/>
            </w:tcBorders>
          </w:tcPr>
          <w:p w14:paraId="31102526" w14:textId="77777777" w:rsidR="00353565" w:rsidRDefault="00AA33E5">
            <w:pPr>
              <w:spacing w:after="0" w:line="240" w:lineRule="auto"/>
              <w:rPr>
                <w:rFonts w:ascii="Times New Roman" w:eastAsia="Times New Roman" w:hAnsi="Times New Roman" w:cs="Times New Roman"/>
              </w:rPr>
            </w:pPr>
            <w:r>
              <w:rPr>
                <w:rFonts w:ascii="Times New Roman" w:eastAsia="Times New Roman" w:hAnsi="Times New Roman" w:cs="Times New Roman"/>
              </w:rPr>
              <w:t>Regular table fill font</w:t>
            </w:r>
          </w:p>
        </w:tc>
      </w:tr>
    </w:tbl>
    <w:p w14:paraId="3B7F8EC3" w14:textId="77777777" w:rsidR="00353565" w:rsidRDefault="00353565">
      <w:pPr>
        <w:spacing w:after="0" w:line="240" w:lineRule="auto"/>
        <w:jc w:val="both"/>
        <w:rPr>
          <w:rFonts w:ascii="Times New Roman" w:eastAsia="Times New Roman" w:hAnsi="Times New Roman" w:cs="Times New Roman"/>
        </w:rPr>
      </w:pPr>
    </w:p>
    <w:p w14:paraId="2794B0FF"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Try not to truncate the table on different pages, unless the size exceeds one page. If you have to truncate, don't forget to rewrite the header row for each column, given the same table serial number, and replace the title with Continuation. The table title does not end with a period. Tables do not need to use vertical lines.</w:t>
      </w:r>
    </w:p>
    <w:p w14:paraId="0E56FE88" w14:textId="77777777" w:rsidR="00353565" w:rsidRDefault="00353565">
      <w:pPr>
        <w:spacing w:after="0" w:line="240" w:lineRule="auto"/>
        <w:jc w:val="both"/>
        <w:rPr>
          <w:rFonts w:ascii="Times New Roman" w:eastAsia="Times New Roman" w:hAnsi="Times New Roman" w:cs="Times New Roman"/>
        </w:rPr>
      </w:pPr>
    </w:p>
    <w:p w14:paraId="3A6F5D5B" w14:textId="77777777" w:rsidR="00353565" w:rsidRDefault="00AA33E5">
      <w:pPr>
        <w:tabs>
          <w:tab w:val="left" w:pos="360"/>
        </w:tabs>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Picture</w:t>
      </w:r>
    </w:p>
    <w:p w14:paraId="5D5D3D81"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As with tables, make sure each figure has a sequence number and a title. Make the images you use look like they're professionally made and don't need to be framed. Make sure to use black-and-white images.</w:t>
      </w:r>
    </w:p>
    <w:p w14:paraId="5D0D68B6" w14:textId="77777777" w:rsidR="00353565" w:rsidRDefault="00353565">
      <w:pPr>
        <w:spacing w:after="0" w:line="240" w:lineRule="auto"/>
        <w:jc w:val="both"/>
        <w:rPr>
          <w:rFonts w:ascii="Times New Roman" w:eastAsia="Times New Roman" w:hAnsi="Times New Roman" w:cs="Times New Roman"/>
        </w:rPr>
      </w:pPr>
    </w:p>
    <w:p w14:paraId="6676E8B4" w14:textId="77777777" w:rsidR="00353565" w:rsidRDefault="00AA33E5">
      <w:pPr>
        <w:spacing w:after="0" w:line="240" w:lineRule="auto"/>
        <w:ind w:firstLine="284"/>
        <w:jc w:val="center"/>
        <w:rPr>
          <w:rFonts w:ascii="Times New Roman" w:eastAsia="Times New Roman" w:hAnsi="Times New Roman" w:cs="Times New Roman"/>
        </w:rPr>
      </w:pPr>
      <w:r>
        <w:rPr>
          <w:rFonts w:ascii="Times New Roman" w:eastAsia="Times New Roman" w:hAnsi="Times New Roman" w:cs="Times New Roman"/>
          <w:b/>
          <w:bCs/>
          <w:noProof/>
          <w:lang w:val="en-US" w:eastAsia="en-US"/>
        </w:rPr>
        <w:lastRenderedPageBreak/>
        <w:drawing>
          <wp:inline distT="0" distB="0" distL="0" distR="0" wp14:anchorId="0BF0A8BE" wp14:editId="2A8646EF">
            <wp:extent cx="2514600" cy="189865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l="1701" t="2359" b="1386"/>
                    <a:stretch>
                      <a:fillRect/>
                    </a:stretch>
                  </pic:blipFill>
                  <pic:spPr>
                    <a:xfrm>
                      <a:off x="0" y="0"/>
                      <a:ext cx="2514600" cy="1898650"/>
                    </a:xfrm>
                    <a:prstGeom prst="rect">
                      <a:avLst/>
                    </a:prstGeom>
                    <a:ln/>
                  </pic:spPr>
                </pic:pic>
              </a:graphicData>
            </a:graphic>
          </wp:inline>
        </w:drawing>
      </w:r>
    </w:p>
    <w:p w14:paraId="7ACA3261" w14:textId="77777777" w:rsidR="00353565" w:rsidRDefault="00AA33E5">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Picture 1 The Title of The Image </w:t>
      </w:r>
    </w:p>
    <w:p w14:paraId="39FBB025" w14:textId="77777777" w:rsidR="00353565" w:rsidRDefault="00AA33E5">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(Capitalize Each Words and bold)</w:t>
      </w:r>
    </w:p>
    <w:p w14:paraId="07A14D7E" w14:textId="77777777" w:rsidR="00353565" w:rsidRDefault="00353565">
      <w:pPr>
        <w:spacing w:after="0" w:line="240" w:lineRule="auto"/>
        <w:jc w:val="both"/>
        <w:rPr>
          <w:rFonts w:ascii="Times New Roman" w:eastAsia="Times New Roman" w:hAnsi="Times New Roman" w:cs="Times New Roman"/>
        </w:rPr>
      </w:pPr>
    </w:p>
    <w:p w14:paraId="52268A47" w14:textId="77777777"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CONCLUSION</w:t>
      </w:r>
    </w:p>
    <w:p w14:paraId="2B93A5C7"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Write down the findings or conclusions in a concise, concise, and clear manner. Conclusions are not recommended to be written into several parts or points.</w:t>
      </w:r>
    </w:p>
    <w:p w14:paraId="5A4B90EB" w14:textId="77777777" w:rsidR="00353565" w:rsidRDefault="00353565">
      <w:pPr>
        <w:spacing w:after="0" w:line="240" w:lineRule="auto"/>
        <w:ind w:firstLine="720"/>
        <w:jc w:val="both"/>
        <w:rPr>
          <w:rFonts w:ascii="Times New Roman" w:eastAsia="Times New Roman" w:hAnsi="Times New Roman" w:cs="Times New Roman"/>
        </w:rPr>
      </w:pPr>
    </w:p>
    <w:p w14:paraId="2003681B" w14:textId="77777777" w:rsidR="00353565" w:rsidRDefault="00AA33E5">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REFERENCES</w:t>
      </w:r>
    </w:p>
    <w:p w14:paraId="3DBD9A64" w14:textId="77777777" w:rsidR="00353565" w:rsidRDefault="00AA33E5">
      <w:pPr>
        <w:spacing w:after="0" w:line="240" w:lineRule="auto"/>
        <w:ind w:firstLine="720"/>
        <w:jc w:val="both"/>
        <w:rPr>
          <w:rFonts w:ascii="Times New Roman" w:eastAsia="Times New Roman" w:hAnsi="Times New Roman" w:cs="Times New Roman"/>
        </w:rPr>
      </w:pPr>
      <w:r>
        <w:rPr>
          <w:rFonts w:ascii="Times New Roman" w:eastAsia="Times New Roman" w:hAnsi="Times New Roman" w:cs="Times New Roman"/>
        </w:rPr>
        <w:t>Written using the American Psychological Association 7th edition style, 80% of references must be primary sources, references from the last 10 years, and recommended using the Mendeley application or other reference management application program such as EndNote, Reference Manager, or Zotero. The bibliography does not need to be divided into sections. The number of references in the bibliography is at least 15. The following is an example of how to write a library :</w:t>
      </w:r>
    </w:p>
    <w:p w14:paraId="2DD8CC37" w14:textId="77777777" w:rsidR="00353565" w:rsidRDefault="00353565">
      <w:pPr>
        <w:spacing w:after="0" w:line="240" w:lineRule="auto"/>
        <w:jc w:val="both"/>
        <w:rPr>
          <w:rFonts w:ascii="Times New Roman" w:eastAsia="Times New Roman" w:hAnsi="Times New Roman" w:cs="Times New Roman"/>
        </w:rPr>
      </w:pPr>
    </w:p>
    <w:p w14:paraId="711F244F" w14:textId="77777777" w:rsidR="00353565" w:rsidRDefault="00AA33E5">
      <w:pPr>
        <w:spacing w:line="240" w:lineRule="auto"/>
        <w:jc w:val="both"/>
        <w:rPr>
          <w:rFonts w:ascii="Times New Roman" w:eastAsia="Times New Roman" w:hAnsi="Times New Roman" w:cs="Times New Roman"/>
          <w:b/>
          <w:bCs/>
        </w:rPr>
      </w:pPr>
      <w:r>
        <w:rPr>
          <w:rFonts w:ascii="Times New Roman" w:eastAsia="Times New Roman" w:hAnsi="Times New Roman" w:cs="Times New Roman"/>
          <w:b/>
          <w:bCs/>
        </w:rPr>
        <w:t>Reference from book:</w:t>
      </w:r>
    </w:p>
    <w:p w14:paraId="52C0CBBB" w14:textId="77777777" w:rsidR="00353565" w:rsidRDefault="00AA33E5">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Sugiyono. (2014). </w:t>
      </w:r>
      <w:r>
        <w:rPr>
          <w:rFonts w:ascii="Times New Roman" w:eastAsia="Times New Roman" w:hAnsi="Times New Roman" w:cs="Times New Roman"/>
          <w:i/>
          <w:iCs/>
        </w:rPr>
        <w:t>Metode penelitian kuantitatif kualitatif dan R&amp;D</w:t>
      </w:r>
      <w:r>
        <w:rPr>
          <w:rFonts w:ascii="Times New Roman" w:eastAsia="Times New Roman" w:hAnsi="Times New Roman" w:cs="Times New Roman"/>
        </w:rPr>
        <w:t>. Alfabeta.</w:t>
      </w:r>
    </w:p>
    <w:p w14:paraId="4954A777" w14:textId="77777777" w:rsidR="00353565" w:rsidRDefault="00AA33E5">
      <w:pPr>
        <w:spacing w:line="240" w:lineRule="auto"/>
        <w:jc w:val="both"/>
        <w:rPr>
          <w:rFonts w:ascii="Times New Roman" w:eastAsia="Times New Roman" w:hAnsi="Times New Roman" w:cs="Times New Roman"/>
        </w:rPr>
      </w:pPr>
      <w:r>
        <w:t xml:space="preserve"> </w:t>
      </w:r>
      <w:r>
        <w:rPr>
          <w:rFonts w:ascii="Times New Roman" w:eastAsia="Times New Roman" w:hAnsi="Times New Roman" w:cs="Times New Roman"/>
          <w:b/>
          <w:bCs/>
        </w:rPr>
        <w:t>Reference from scientific journals:</w:t>
      </w:r>
    </w:p>
    <w:p w14:paraId="4FA95499" w14:textId="77777777" w:rsidR="00353565" w:rsidRDefault="00AA33E5">
      <w:pPr>
        <w:widowControl w:val="0"/>
        <w:spacing w:line="240" w:lineRule="auto"/>
        <w:ind w:left="480" w:hanging="480"/>
        <w:jc w:val="both"/>
        <w:rPr>
          <w:rFonts w:ascii="Times New Roman" w:eastAsia="Times New Roman" w:hAnsi="Times New Roman" w:cs="Times New Roman"/>
        </w:rPr>
      </w:pPr>
      <w:r>
        <w:rPr>
          <w:rFonts w:ascii="Times New Roman" w:eastAsia="Times New Roman" w:hAnsi="Times New Roman" w:cs="Times New Roman"/>
        </w:rPr>
        <w:t xml:space="preserve">Artaningrum, R. G., Budiartha, I. K., &amp; Wirakusuma, M. G. (2017). Pengaruh profitabilitas, solvabilitas, likuiditas, ukuran perusahaan dan pergantian manajemen pada audit report lag perusahaan perbankan. </w:t>
      </w:r>
      <w:r>
        <w:rPr>
          <w:rFonts w:ascii="Times New Roman" w:eastAsia="Times New Roman" w:hAnsi="Times New Roman" w:cs="Times New Roman"/>
          <w:i/>
          <w:iCs/>
        </w:rPr>
        <w:t>E-Jurnal Ekonomi Dan Bisnis Universitas Udayana</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(3), 1079–1108.</w:t>
      </w:r>
    </w:p>
    <w:p w14:paraId="2E1F5FA7" w14:textId="77777777" w:rsidR="00353565" w:rsidRDefault="00AA33E5">
      <w:pPr>
        <w:rPr>
          <w:rFonts w:ascii="Times New Roman" w:eastAsia="Times New Roman" w:hAnsi="Times New Roman" w:cs="Times New Roman"/>
          <w:b/>
          <w:bCs/>
        </w:rPr>
      </w:pPr>
      <w:bookmarkStart w:id="2" w:name="_heading=h.kby9q72azfue" w:colFirst="0" w:colLast="0"/>
      <w:bookmarkEnd w:id="2"/>
      <w:r>
        <w:rPr>
          <w:rFonts w:ascii="Times New Roman" w:eastAsia="Times New Roman" w:hAnsi="Times New Roman" w:cs="Times New Roman"/>
          <w:b/>
          <w:bCs/>
        </w:rPr>
        <w:t>Reference from dictionaries/encyclopedias – print :</w:t>
      </w:r>
    </w:p>
    <w:p w14:paraId="04A55CFE" w14:textId="77777777" w:rsidR="00353565" w:rsidRDefault="00AA33E5">
      <w:pPr>
        <w:ind w:left="426" w:hanging="426"/>
        <w:jc w:val="both"/>
        <w:rPr>
          <w:rFonts w:ascii="Times New Roman" w:eastAsia="Times New Roman" w:hAnsi="Times New Roman" w:cs="Times New Roman"/>
        </w:rPr>
      </w:pPr>
      <w:r>
        <w:rPr>
          <w:rFonts w:ascii="Times New Roman" w:eastAsia="Times New Roman" w:hAnsi="Times New Roman" w:cs="Times New Roman"/>
        </w:rPr>
        <w:t xml:space="preserve">VandenBos, G. R. (Ed.). (2007). </w:t>
      </w:r>
      <w:r>
        <w:rPr>
          <w:rFonts w:ascii="Times New Roman" w:eastAsia="Times New Roman" w:hAnsi="Times New Roman" w:cs="Times New Roman"/>
          <w:i/>
          <w:iCs/>
        </w:rPr>
        <w:t>APA dictionary of psychology</w:t>
      </w:r>
      <w:r>
        <w:rPr>
          <w:rFonts w:ascii="Times New Roman" w:eastAsia="Times New Roman" w:hAnsi="Times New Roman" w:cs="Times New Roman"/>
        </w:rPr>
        <w:t>. Washington, DC: American Psychological Association.</w:t>
      </w:r>
    </w:p>
    <w:p w14:paraId="56ED2F26" w14:textId="77777777" w:rsidR="00353565" w:rsidRDefault="00AA33E5">
      <w:pPr>
        <w:ind w:left="426" w:hanging="426"/>
        <w:jc w:val="both"/>
        <w:rPr>
          <w:rFonts w:ascii="Times New Roman" w:eastAsia="Times New Roman" w:hAnsi="Times New Roman" w:cs="Times New Roman"/>
          <w:b/>
          <w:bCs/>
        </w:rPr>
      </w:pPr>
      <w:r>
        <w:rPr>
          <w:rFonts w:ascii="Times New Roman" w:eastAsia="Times New Roman" w:hAnsi="Times New Roman" w:cs="Times New Roman"/>
          <w:b/>
          <w:bCs/>
        </w:rPr>
        <w:t>Reference from dictionaries/encyclopedias – online :</w:t>
      </w:r>
    </w:p>
    <w:p w14:paraId="6436AB74" w14:textId="77777777" w:rsidR="00353565" w:rsidRDefault="00AA33E5">
      <w:pPr>
        <w:ind w:left="426" w:hanging="426"/>
        <w:jc w:val="both"/>
        <w:rPr>
          <w:rFonts w:ascii="Times New Roman" w:eastAsia="Times New Roman" w:hAnsi="Times New Roman" w:cs="Times New Roman"/>
        </w:rPr>
      </w:pPr>
      <w:r>
        <w:rPr>
          <w:rFonts w:ascii="Times New Roman" w:eastAsia="Times New Roman" w:hAnsi="Times New Roman" w:cs="Times New Roman"/>
        </w:rPr>
        <w:t xml:space="preserve">Arcus, D. (2001). Attention deficit / hyperactivity disorder (ADHD). In B. Strickland (Ed.), </w:t>
      </w:r>
      <w:r>
        <w:rPr>
          <w:rFonts w:ascii="Times New Roman" w:eastAsia="Times New Roman" w:hAnsi="Times New Roman" w:cs="Times New Roman"/>
          <w:i/>
          <w:iCs/>
        </w:rPr>
        <w:t>The Gale encyclopedia of psychology</w:t>
      </w:r>
      <w:r>
        <w:rPr>
          <w:rFonts w:ascii="Times New Roman" w:eastAsia="Times New Roman" w:hAnsi="Times New Roman" w:cs="Times New Roman"/>
        </w:rPr>
        <w:t>. Diakses dari http://www.gale.cengage.com/</w:t>
      </w:r>
    </w:p>
    <w:p w14:paraId="205C7B80" w14:textId="77777777" w:rsidR="00353565" w:rsidRDefault="00AA33E5">
      <w:pPr>
        <w:ind w:left="426" w:hanging="426"/>
        <w:jc w:val="both"/>
        <w:rPr>
          <w:rFonts w:ascii="Times New Roman" w:eastAsia="Times New Roman" w:hAnsi="Times New Roman" w:cs="Times New Roman"/>
          <w:b/>
          <w:bCs/>
        </w:rPr>
      </w:pPr>
      <w:r>
        <w:rPr>
          <w:rFonts w:ascii="Times New Roman" w:eastAsia="Times New Roman" w:hAnsi="Times New Roman" w:cs="Times New Roman"/>
          <w:b/>
          <w:bCs/>
        </w:rPr>
        <w:t>Reference from conference papers or seminar proceedings published – print :</w:t>
      </w:r>
    </w:p>
    <w:p w14:paraId="16FAA8BB" w14:textId="77777777" w:rsidR="00353565" w:rsidRDefault="00AA33E5">
      <w:pPr>
        <w:ind w:left="426" w:hanging="426"/>
        <w:jc w:val="both"/>
        <w:rPr>
          <w:rFonts w:ascii="Times New Roman" w:eastAsia="Times New Roman" w:hAnsi="Times New Roman" w:cs="Times New Roman"/>
        </w:rPr>
      </w:pPr>
      <w:r>
        <w:rPr>
          <w:rFonts w:ascii="Times New Roman" w:eastAsia="Times New Roman" w:hAnsi="Times New Roman" w:cs="Times New Roman"/>
        </w:rPr>
        <w:t xml:space="preserve">Edge, M. (1996). Lifetime prediction: Fact or fancy? In M. S. Koch, T. Padfield, J. S. Johnsen, &amp; U. B. Kejser (Eds.), </w:t>
      </w:r>
      <w:r>
        <w:rPr>
          <w:rFonts w:ascii="Times New Roman" w:eastAsia="Times New Roman" w:hAnsi="Times New Roman" w:cs="Times New Roman"/>
          <w:i/>
          <w:iCs/>
        </w:rPr>
        <w:t>Proceedings of the Conference on Research Techniques in Photographic Conservation</w:t>
      </w:r>
      <w:r>
        <w:rPr>
          <w:rFonts w:ascii="Times New Roman" w:eastAsia="Times New Roman" w:hAnsi="Times New Roman" w:cs="Times New Roman"/>
        </w:rPr>
        <w:t xml:space="preserve"> (pp. 97-100). Copenhagen, Denmark: Royal Danish Academy of Fine Arts.</w:t>
      </w:r>
    </w:p>
    <w:p w14:paraId="2927CF7F" w14:textId="77777777" w:rsidR="00353565" w:rsidRDefault="00AA33E5">
      <w:pPr>
        <w:ind w:left="426" w:hanging="426"/>
        <w:jc w:val="both"/>
        <w:rPr>
          <w:rFonts w:ascii="Times New Roman" w:eastAsia="Times New Roman" w:hAnsi="Times New Roman" w:cs="Times New Roman"/>
          <w:b/>
          <w:bCs/>
        </w:rPr>
      </w:pPr>
      <w:r>
        <w:rPr>
          <w:rFonts w:ascii="Times New Roman" w:eastAsia="Times New Roman" w:hAnsi="Times New Roman" w:cs="Times New Roman"/>
          <w:b/>
          <w:bCs/>
        </w:rPr>
        <w:t>Reference from conference papers or seminar proceedings published – online :</w:t>
      </w:r>
    </w:p>
    <w:p w14:paraId="77501280" w14:textId="77777777" w:rsidR="00353565" w:rsidRDefault="00AA33E5">
      <w:pPr>
        <w:ind w:left="426" w:hanging="426"/>
        <w:jc w:val="both"/>
        <w:rPr>
          <w:rFonts w:ascii="Times New Roman" w:eastAsia="Times New Roman" w:hAnsi="Times New Roman" w:cs="Times New Roman"/>
        </w:rPr>
      </w:pPr>
      <w:r>
        <w:rPr>
          <w:rFonts w:ascii="Times New Roman" w:eastAsia="Times New Roman" w:hAnsi="Times New Roman" w:cs="Times New Roman"/>
        </w:rPr>
        <w:t xml:space="preserve">Tester, J. W. (2008). The future of geothermal energy as a major global energy supplier. In H. Gurgenci &amp; A. R. Budd (Eds.), </w:t>
      </w:r>
      <w:r>
        <w:rPr>
          <w:rFonts w:ascii="Times New Roman" w:eastAsia="Times New Roman" w:hAnsi="Times New Roman" w:cs="Times New Roman"/>
          <w:i/>
          <w:iCs/>
        </w:rPr>
        <w:t>Proceedings of the Sir Mark Oliphant International Frontiers of Science and Technology Australian Geothermal Energy Conference</w:t>
      </w:r>
      <w:r>
        <w:rPr>
          <w:rFonts w:ascii="Times New Roman" w:eastAsia="Times New Roman" w:hAnsi="Times New Roman" w:cs="Times New Roman"/>
        </w:rPr>
        <w:t>, Canberra, Australia: Geoscience Australia. Diakses dari  http://www.ga.gov.au/image_cache/GA11825.pdf</w:t>
      </w:r>
    </w:p>
    <w:p w14:paraId="55E2B0C2" w14:textId="77777777" w:rsidR="00353565" w:rsidRDefault="00353565">
      <w:pPr>
        <w:spacing w:after="0" w:line="240" w:lineRule="auto"/>
        <w:jc w:val="both"/>
        <w:rPr>
          <w:rFonts w:ascii="Times New Roman" w:eastAsia="Times New Roman" w:hAnsi="Times New Roman" w:cs="Times New Roman"/>
        </w:rPr>
      </w:pPr>
    </w:p>
    <w:p w14:paraId="74A3F0D8" w14:textId="77777777" w:rsidR="00353565" w:rsidRDefault="00353565">
      <w:pPr>
        <w:rPr>
          <w:rFonts w:ascii="Times New Roman" w:eastAsia="Times New Roman" w:hAnsi="Times New Roman" w:cs="Times New Roman"/>
          <w:sz w:val="20"/>
          <w:szCs w:val="20"/>
        </w:rPr>
      </w:pPr>
    </w:p>
    <w:sectPr w:rsidR="0035356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BF2C0BF" w14:textId="77777777" w:rsidR="004A3753" w:rsidRDefault="004A3753">
      <w:pPr>
        <w:spacing w:after="0" w:line="240" w:lineRule="auto"/>
      </w:pPr>
      <w:r>
        <w:separator/>
      </w:r>
    </w:p>
  </w:endnote>
  <w:endnote w:type="continuationSeparator" w:id="0">
    <w:p w14:paraId="3C9A3F0B" w14:textId="77777777" w:rsidR="004A3753" w:rsidRDefault="004A3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embedRegular r:id="rId1" w:fontKey="{ACD6D871-1EA7-43CC-AD38-2118C8258202}"/>
    <w:embedBold r:id="rId2" w:fontKey="{F9A903DF-0044-4EEE-BC08-6DAF2B899E2D}"/>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B418E4BC-1CC5-4D10-88E7-C4FEE7BC2635}"/>
  </w:font>
  <w:font w:name="Segoe UI">
    <w:panose1 w:val="020B0502040204020203"/>
    <w:charset w:val="00"/>
    <w:family w:val="swiss"/>
    <w:pitch w:val="variable"/>
    <w:sig w:usb0="E4002EFF" w:usb1="C000E47F" w:usb2="00000009" w:usb3="00000000" w:csb0="000001FF" w:csb1="00000000"/>
    <w:embedRegular r:id="rId4" w:fontKey="{3C8A31BE-2A48-4245-8BE4-8EA9D49E8297}"/>
  </w:font>
  <w:font w:name="Georgia">
    <w:panose1 w:val="02040502050405020303"/>
    <w:charset w:val="00"/>
    <w:family w:val="roman"/>
    <w:pitch w:val="variable"/>
    <w:sig w:usb0="00000287" w:usb1="00000000" w:usb2="00000000" w:usb3="00000000" w:csb0="0000009F" w:csb1="00000000"/>
    <w:embedItalic r:id="rId5" w:fontKey="{174FD892-BB72-4510-AD82-B9643D8C81B5}"/>
  </w:font>
  <w:font w:name="Lustria">
    <w:altName w:val="Calibri"/>
    <w:charset w:val="00"/>
    <w:family w:val="auto"/>
    <w:pitch w:val="default"/>
    <w:embedRegular r:id="rId6" w:fontKey="{91CB67C7-3435-426D-A971-F6470962AF9F}"/>
    <w:embedBold r:id="rId7" w:fontKey="{27394872-4409-494E-B40A-31E54B91EE32}"/>
  </w:font>
  <w:font w:name="Calibri Light">
    <w:panose1 w:val="020F0302020204030204"/>
    <w:charset w:val="00"/>
    <w:family w:val="swiss"/>
    <w:pitch w:val="variable"/>
    <w:sig w:usb0="E4002EFF" w:usb1="C000247B" w:usb2="00000009" w:usb3="00000000" w:csb0="000001FF" w:csb1="00000000"/>
    <w:embedRegular r:id="rId8" w:fontKey="{D3F7F93E-9758-4BBA-BE6D-788D3241E3F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F54171"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00CDAF" w14:textId="77777777" w:rsidR="00353565" w:rsidRDefault="00AA33E5">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92577">
      <w:rPr>
        <w:noProof/>
        <w:color w:val="000000"/>
      </w:rPr>
      <w:t>5</w:t>
    </w:r>
    <w:r>
      <w:rPr>
        <w:color w:val="000000"/>
      </w:rPr>
      <w:fldChar w:fldCharType="end"/>
    </w:r>
  </w:p>
  <w:p w14:paraId="23DFA1FF"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412EB7" w14:textId="77777777" w:rsidR="00353565" w:rsidRDefault="00AA33E5">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0683B">
      <w:rPr>
        <w:noProof/>
        <w:color w:val="000000"/>
      </w:rPr>
      <w:t>1</w:t>
    </w:r>
    <w:r>
      <w:rPr>
        <w:color w:val="000000"/>
      </w:rPr>
      <w:fldChar w:fldCharType="end"/>
    </w:r>
  </w:p>
  <w:p w14:paraId="16A9DDFA"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4C0FEC" w14:textId="77777777" w:rsidR="004A3753" w:rsidRDefault="004A3753">
      <w:pPr>
        <w:spacing w:after="0" w:line="240" w:lineRule="auto"/>
      </w:pPr>
      <w:r>
        <w:separator/>
      </w:r>
    </w:p>
  </w:footnote>
  <w:footnote w:type="continuationSeparator" w:id="0">
    <w:p w14:paraId="404B4A35" w14:textId="77777777" w:rsidR="004A3753" w:rsidRDefault="004A37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FF2B3D"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D071F4" w14:textId="77777777" w:rsidR="00353565" w:rsidRDefault="00AA33E5">
    <w:pPr>
      <w:pBdr>
        <w:bottom w:val="single" w:sz="4" w:space="0" w:color="000000"/>
      </w:pBdr>
      <w:spacing w:after="0" w:line="240" w:lineRule="auto"/>
      <w:ind w:right="-2"/>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First Author, Second Author, etc (2025).  </w:t>
    </w:r>
  </w:p>
  <w:p w14:paraId="2FB05D8E" w14:textId="059C1A7E" w:rsidR="00353565" w:rsidRDefault="00831683">
    <w:pPr>
      <w:pBdr>
        <w:bottom w:val="single" w:sz="4" w:space="0" w:color="000000"/>
      </w:pBdr>
      <w:spacing w:after="0" w:line="240" w:lineRule="auto"/>
      <w:ind w:right="-2"/>
      <w:rPr>
        <w:rFonts w:ascii="Times New Roman" w:eastAsia="Times New Roman" w:hAnsi="Times New Roman" w:cs="Times New Roman"/>
        <w:sz w:val="16"/>
        <w:szCs w:val="16"/>
      </w:rPr>
    </w:pPr>
    <w:r>
      <w:rPr>
        <w:rFonts w:ascii="Times New Roman" w:eastAsia="Times New Roman" w:hAnsi="Times New Roman" w:cs="Times New Roman"/>
        <w:sz w:val="16"/>
        <w:szCs w:val="16"/>
      </w:rPr>
      <w:t>Internasional Journal of Education Socio-Humanities Vol. X No. X Month Year</w:t>
    </w:r>
  </w:p>
  <w:p w14:paraId="1C01E81B" w14:textId="77777777" w:rsidR="00353565" w:rsidRDefault="00AA33E5">
    <w:pPr>
      <w:pBdr>
        <w:bottom w:val="single" w:sz="4" w:space="0" w:color="000000"/>
      </w:pBdr>
      <w:spacing w:after="0" w:line="240" w:lineRule="auto"/>
      <w:ind w:right="-2"/>
      <w:rPr>
        <w:rFonts w:ascii="Times New Roman" w:eastAsia="Times New Roman" w:hAnsi="Times New Roman" w:cs="Times New Roman"/>
        <w:i/>
        <w:iCs/>
        <w:color w:val="000000"/>
        <w:sz w:val="16"/>
        <w:szCs w:val="16"/>
      </w:rPr>
    </w:pPr>
    <w:r>
      <w:rPr>
        <w:rFonts w:ascii="Times New Roman" w:eastAsia="Times New Roman" w:hAnsi="Times New Roman" w:cs="Times New Roman"/>
        <w:i/>
        <w:iCs/>
        <w:color w:val="000000"/>
        <w:sz w:val="16"/>
        <w:szCs w:val="16"/>
      </w:rPr>
      <w:t>P-ISSN: xxxx-xxxx  E-ISSN : xxxx-xxxx</w:t>
    </w:r>
  </w:p>
  <w:p w14:paraId="10320D48" w14:textId="77777777" w:rsidR="00353565" w:rsidRDefault="00353565">
    <w:pPr>
      <w:pBdr>
        <w:bottom w:val="single" w:sz="4" w:space="0" w:color="000000"/>
      </w:pBdr>
      <w:spacing w:after="0" w:line="240" w:lineRule="auto"/>
      <w:ind w:right="-2"/>
      <w:rPr>
        <w:rFonts w:ascii="Times New Roman" w:eastAsia="Times New Roman" w:hAnsi="Times New Roman" w:cs="Times New Roman"/>
        <w:i/>
        <w:iCs/>
        <w:color w:val="000000"/>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288D27" w14:textId="081837AB" w:rsidR="00353565" w:rsidRDefault="00831683" w:rsidP="00831683">
    <w:pPr>
      <w:pBdr>
        <w:top w:val="nil"/>
        <w:left w:val="nil"/>
        <w:bottom w:val="nil"/>
        <w:right w:val="nil"/>
        <w:between w:val="nil"/>
      </w:pBdr>
      <w:tabs>
        <w:tab w:val="center" w:pos="4513"/>
        <w:tab w:val="right" w:pos="9026"/>
      </w:tabs>
      <w:spacing w:after="0" w:line="240" w:lineRule="auto"/>
      <w:jc w:val="center"/>
      <w:rPr>
        <w:noProof/>
        <w:color w:val="000000"/>
      </w:rPr>
    </w:pPr>
    <w:r>
      <w:rPr>
        <w:noProof/>
        <w:color w:val="000000"/>
        <w:lang w:val="en-US" w:eastAsia="en-US"/>
      </w:rPr>
      <w:drawing>
        <wp:inline distT="0" distB="0" distL="0" distR="0" wp14:anchorId="4CF75D6A" wp14:editId="6C0B49B9">
          <wp:extent cx="5794752" cy="1247775"/>
          <wp:effectExtent l="0" t="0" r="0" b="0"/>
          <wp:docPr id="2009685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85862" name="Picture 2009685862"/>
                  <pic:cNvPicPr/>
                </pic:nvPicPr>
                <pic:blipFill rotWithShape="1">
                  <a:blip r:embed="rId1">
                    <a:extLst>
                      <a:ext uri="{28A0092B-C50C-407E-A947-70E740481C1C}">
                        <a14:useLocalDpi xmlns:a14="http://schemas.microsoft.com/office/drawing/2010/main" val="0"/>
                      </a:ext>
                    </a:extLst>
                  </a:blip>
                  <a:srcRect l="4487" t="1" r="4443" b="86150"/>
                  <a:stretch>
                    <a:fillRect/>
                  </a:stretch>
                </pic:blipFill>
                <pic:spPr bwMode="auto">
                  <a:xfrm>
                    <a:off x="0" y="0"/>
                    <a:ext cx="5817189" cy="1252606"/>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7"/>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565"/>
    <w:rsid w:val="00151AE2"/>
    <w:rsid w:val="00200DC1"/>
    <w:rsid w:val="00266904"/>
    <w:rsid w:val="002E73DD"/>
    <w:rsid w:val="00353565"/>
    <w:rsid w:val="00491CCB"/>
    <w:rsid w:val="004A3753"/>
    <w:rsid w:val="005B484C"/>
    <w:rsid w:val="00625CE5"/>
    <w:rsid w:val="006B7C3C"/>
    <w:rsid w:val="007139A5"/>
    <w:rsid w:val="0080683B"/>
    <w:rsid w:val="00831683"/>
    <w:rsid w:val="00892577"/>
    <w:rsid w:val="00AA33E5"/>
    <w:rsid w:val="00B12559"/>
    <w:rsid w:val="00B2048A"/>
    <w:rsid w:val="00CA678F"/>
    <w:rsid w:val="00D10483"/>
    <w:rsid w:val="00DD76AA"/>
    <w:rsid w:val="00F1361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6B9333"/>
  <w15:docId w15:val="{121701AD-D43D-48E3-8531-B793A8BEC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Header">
    <w:name w:val="header"/>
    <w:basedOn w:val="Normal"/>
    <w:link w:val="HeaderChar"/>
    <w:uiPriority w:val="99"/>
    <w:unhideWhenUsed/>
    <w:rsid w:val="004570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7035"/>
  </w:style>
  <w:style w:type="paragraph" w:styleId="Footer">
    <w:name w:val="footer"/>
    <w:basedOn w:val="Normal"/>
    <w:link w:val="FooterChar"/>
    <w:uiPriority w:val="99"/>
    <w:unhideWhenUsed/>
    <w:rsid w:val="004570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035"/>
  </w:style>
  <w:style w:type="character" w:styleId="Hyperlink">
    <w:name w:val="Hyperlink"/>
    <w:basedOn w:val="DefaultParagraphFont"/>
    <w:uiPriority w:val="99"/>
    <w:unhideWhenUsed/>
    <w:rsid w:val="00457035"/>
    <w:rPr>
      <w:color w:val="0563C1" w:themeColor="hyperlink"/>
      <w:u w:val="single"/>
    </w:rPr>
  </w:style>
  <w:style w:type="character" w:customStyle="1" w:styleId="UnresolvedMention">
    <w:name w:val="Unresolved Mention"/>
    <w:basedOn w:val="DefaultParagraphFont"/>
    <w:uiPriority w:val="99"/>
    <w:semiHidden/>
    <w:unhideWhenUsed/>
    <w:rsid w:val="00457035"/>
    <w:rPr>
      <w:color w:val="605E5C"/>
      <w:shd w:val="clear" w:color="auto" w:fill="E1DFDD"/>
    </w:rPr>
  </w:style>
  <w:style w:type="table" w:customStyle="1" w:styleId="TableGrid1">
    <w:name w:val="Table Grid1"/>
    <w:basedOn w:val="TableNormal"/>
    <w:next w:val="TableGrid"/>
    <w:rsid w:val="00457035"/>
    <w:pPr>
      <w:spacing w:after="0" w:line="240" w:lineRule="auto"/>
    </w:pPr>
    <w:rPr>
      <w:rFonts w:ascii="Times New Roman" w:eastAsia="Times New Roman" w:hAnsi="Times New Roman" w:cs="Times New Roman"/>
      <w:sz w:val="20"/>
      <w:szCs w:val="20"/>
      <w:lang w:val="id-ID"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4570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11">
    <w:name w:val="Medium List 11"/>
    <w:basedOn w:val="TableNormal"/>
    <w:uiPriority w:val="65"/>
    <w:rsid w:val="007C6F16"/>
    <w:pPr>
      <w:spacing w:after="0" w:line="240" w:lineRule="auto"/>
    </w:pPr>
    <w:rPr>
      <w:color w:val="000000"/>
      <w:lang w:val="en-US"/>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BalloonText">
    <w:name w:val="Balloon Text"/>
    <w:basedOn w:val="Normal"/>
    <w:link w:val="BalloonTextChar"/>
    <w:uiPriority w:val="99"/>
    <w:semiHidden/>
    <w:unhideWhenUsed/>
    <w:rsid w:val="00E270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705B"/>
    <w:rPr>
      <w:rFonts w:ascii="Segoe UI" w:hAnsi="Segoe UI" w:cs="Segoe UI"/>
      <w:sz w:val="18"/>
      <w:szCs w:val="18"/>
    </w:rPr>
  </w:style>
  <w:style w:type="table" w:customStyle="1" w:styleId="6">
    <w:name w:val="6"/>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3">
    <w:name w:val="3"/>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f8nafrM8krLiB+99pPyoH0xA==">CgMxLjAyDWgudHRzdG1nNngwYWEyDmgua2J5OXE3MmF6ZnVlOAByITFyS1Jkc3ZTQ3ZDS1czZFdINFFpb1kwX1MwYlZpb0dROA==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5</Pages>
  <Words>2128</Words>
  <Characters>12136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Microsoft account</cp:lastModifiedBy>
  <cp:revision>7</cp:revision>
  <dcterms:created xsi:type="dcterms:W3CDTF">2026-02-23T08:17:00Z</dcterms:created>
  <dcterms:modified xsi:type="dcterms:W3CDTF">2026-04-13T13:49:00Z</dcterms:modified>
</cp:coreProperties>
</file>