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6F69" w:rsidRDefault="00000000">
      <w:pPr>
        <w:spacing w:after="40" w:line="259" w:lineRule="auto"/>
        <w:jc w:val="center"/>
        <w:rPr>
          <w:rFonts w:ascii="Calibri" w:eastAsia="Calibri" w:hAnsi="Calibri" w:cs="Calibri"/>
          <w:b/>
          <w:sz w:val="24"/>
          <w:szCs w:val="24"/>
        </w:rPr>
      </w:pPr>
      <w:r>
        <w:rPr>
          <w:rFonts w:ascii="Calibri" w:hAnsi="Calibri"/>
          <w:b/>
          <w:sz w:val="24"/>
        </w:rPr>
        <w:t>Project Development Phase</w:t>
      </w:r>
    </w:p>
    <w:p w:rsidR="008A6F69" w:rsidRDefault="00000000">
      <w:pPr>
        <w:spacing w:after="40" w:line="259" w:lineRule="auto"/>
        <w:jc w:val="center"/>
        <w:rPr>
          <w:rFonts w:ascii="Calibri" w:eastAsia="Calibri" w:hAnsi="Calibri" w:cs="Calibri"/>
          <w:b/>
          <w:sz w:val="24"/>
          <w:szCs w:val="24"/>
        </w:rPr>
      </w:pPr>
      <w:r>
        <w:rPr>
          <w:rFonts w:ascii="Calibri" w:hAnsi="Calibri"/>
          <w:b/>
          <w:sz w:val="24"/>
        </w:rPr>
        <w:t>Workflow Performance Test</w:t>
      </w:r>
    </w:p>
    <w:p w:rsidR="008A6F69" w:rsidRDefault="008A6F69">
      <w:pPr>
        <w:spacing w:after="40" w:line="259" w:lineRule="auto"/>
        <w:jc w:val="center"/>
        <w:rPr>
          <w:rFonts w:ascii="Calibri" w:eastAsia="Calibri" w:hAnsi="Calibri" w:cs="Calibri"/>
          <w:b/>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A6F69">
        <w:tc>
          <w:tcPr>
            <w:tcW w:w="4508" w:type="dxa"/>
            <w:vAlign w:val="center"/>
          </w:tcPr>
          <w:p w:rsidR="008A6F69" w:rsidRDefault="00000000">
            <w:r>
              <w:rPr>
                <w:rFonts w:ascii="Calibri" w:hAnsi="Calibri"/>
                <w:b/>
                <w:sz w:val="20"/>
              </w:rPr>
              <w:t>Date</w:t>
            </w:r>
          </w:p>
        </w:tc>
        <w:tc>
          <w:tcPr>
            <w:tcW w:w="4508" w:type="dxa"/>
            <w:vAlign w:val="center"/>
          </w:tcPr>
          <w:p w:rsidR="008A6F69" w:rsidRDefault="009E4D8D">
            <w:r>
              <w:rPr>
                <w:rFonts w:ascii="Calibri" w:hAnsi="Calibri"/>
                <w:sz w:val="20"/>
              </w:rPr>
              <w:t>8 October 2026</w:t>
            </w:r>
          </w:p>
        </w:tc>
      </w:tr>
      <w:tr w:rsidR="008A6F69">
        <w:tc>
          <w:tcPr>
            <w:tcW w:w="4508" w:type="dxa"/>
            <w:vAlign w:val="center"/>
          </w:tcPr>
          <w:p w:rsidR="008A6F69" w:rsidRDefault="00000000">
            <w:r>
              <w:rPr>
                <w:rFonts w:ascii="Calibri" w:hAnsi="Calibri"/>
                <w:b/>
                <w:sz w:val="20"/>
              </w:rPr>
              <w:t>Team ID</w:t>
            </w:r>
          </w:p>
        </w:tc>
        <w:tc>
          <w:tcPr>
            <w:tcW w:w="4508" w:type="dxa"/>
            <w:vAlign w:val="center"/>
          </w:tcPr>
          <w:p w:rsidR="008A6F69" w:rsidRDefault="009E4D8D">
            <w:r>
              <w:rPr>
                <w:rFonts w:ascii="Calibri" w:hAnsi="Calibri"/>
                <w:sz w:val="20"/>
              </w:rPr>
              <w:t>9100MindMesh</w:t>
            </w:r>
          </w:p>
        </w:tc>
      </w:tr>
      <w:tr w:rsidR="008A6F69">
        <w:tc>
          <w:tcPr>
            <w:tcW w:w="4508" w:type="dxa"/>
            <w:vAlign w:val="center"/>
          </w:tcPr>
          <w:p w:rsidR="008A6F69" w:rsidRDefault="00000000">
            <w:r>
              <w:rPr>
                <w:rFonts w:ascii="Calibri" w:hAnsi="Calibri"/>
                <w:b/>
                <w:sz w:val="20"/>
              </w:rPr>
              <w:t>Project Name</w:t>
            </w:r>
          </w:p>
        </w:tc>
        <w:tc>
          <w:tcPr>
            <w:tcW w:w="4508" w:type="dxa"/>
            <w:vAlign w:val="center"/>
          </w:tcPr>
          <w:p w:rsidR="008A6F69" w:rsidRDefault="00000000">
            <w:r>
              <w:rPr>
                <w:rFonts w:ascii="Calibri" w:hAnsi="Calibri"/>
                <w:sz w:val="20"/>
              </w:rPr>
              <w:t>Streamlining IT Procurement: Automating Standard Laptop Orders with Flow Designer</w:t>
            </w:r>
          </w:p>
        </w:tc>
      </w:tr>
      <w:tr w:rsidR="008A6F69">
        <w:tc>
          <w:tcPr>
            <w:tcW w:w="4508" w:type="dxa"/>
            <w:vAlign w:val="center"/>
          </w:tcPr>
          <w:p w:rsidR="008A6F69" w:rsidRDefault="00000000">
            <w:r>
              <w:rPr>
                <w:rFonts w:ascii="Calibri" w:hAnsi="Calibri"/>
                <w:b/>
                <w:sz w:val="20"/>
              </w:rPr>
              <w:t>Maximum Marks</w:t>
            </w:r>
          </w:p>
        </w:tc>
        <w:tc>
          <w:tcPr>
            <w:tcW w:w="4508" w:type="dxa"/>
            <w:vAlign w:val="center"/>
          </w:tcPr>
          <w:p w:rsidR="008A6F69" w:rsidRDefault="008A6F69"/>
        </w:tc>
      </w:tr>
    </w:tbl>
    <w:p w:rsidR="008A6F69" w:rsidRDefault="008A6F69">
      <w:pPr>
        <w:spacing w:after="40" w:line="259" w:lineRule="auto"/>
        <w:rPr>
          <w:rFonts w:ascii="Calibri" w:eastAsia="Calibri" w:hAnsi="Calibri" w:cs="Calibri"/>
          <w:b/>
        </w:rPr>
      </w:pPr>
    </w:p>
    <w:p w:rsidR="008A6F69" w:rsidRDefault="00000000">
      <w:pPr>
        <w:spacing w:after="40" w:line="259" w:lineRule="auto"/>
        <w:rPr>
          <w:rFonts w:ascii="Calibri" w:eastAsia="Calibri" w:hAnsi="Calibri" w:cs="Calibri"/>
          <w:b/>
        </w:rPr>
      </w:pPr>
      <w:r>
        <w:rPr>
          <w:b/>
        </w:rPr>
        <w:t>Workflow Performance Testing:</w:t>
      </w:r>
    </w:p>
    <w:p w:rsidR="008A6F69" w:rsidRDefault="00000000">
      <w:pPr>
        <w:spacing w:after="40" w:line="259" w:lineRule="auto"/>
        <w:rPr>
          <w:rFonts w:ascii="Calibri" w:eastAsia="Calibri" w:hAnsi="Calibri" w:cs="Calibri"/>
        </w:rPr>
      </w:pPr>
      <w:r>
        <w:t>Project team shall fill the following information in the workflow performance testing template.</w:t>
      </w:r>
    </w:p>
    <w:tbl>
      <w:tblPr>
        <w:tblStyle w:val="a4"/>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8A6F69">
        <w:trPr>
          <w:trHeight w:val="557"/>
        </w:trPr>
        <w:tc>
          <w:tcPr>
            <w:tcW w:w="735" w:type="dxa"/>
          </w:tcPr>
          <w:p w:rsidR="008A6F69" w:rsidRDefault="00000000">
            <w:pPr>
              <w:rPr>
                <w:rFonts w:ascii="Calibri" w:eastAsia="Calibri" w:hAnsi="Calibri" w:cs="Calibri"/>
                <w:b/>
              </w:rPr>
            </w:pPr>
            <w:proofErr w:type="spellStart"/>
            <w:r>
              <w:rPr>
                <w:rFonts w:ascii="Calibri" w:eastAsia="Calibri" w:hAnsi="Calibri" w:cs="Calibri"/>
                <w:b/>
                <w:sz w:val="18"/>
              </w:rPr>
              <w:t>S.No</w:t>
            </w:r>
            <w:proofErr w:type="spellEnd"/>
            <w:r>
              <w:rPr>
                <w:rFonts w:ascii="Calibri" w:eastAsia="Calibri" w:hAnsi="Calibri" w:cs="Calibri"/>
                <w:b/>
                <w:sz w:val="18"/>
              </w:rPr>
              <w:t>.</w:t>
            </w:r>
          </w:p>
        </w:tc>
        <w:tc>
          <w:tcPr>
            <w:tcW w:w="2565" w:type="dxa"/>
          </w:tcPr>
          <w:p w:rsidR="008A6F69" w:rsidRDefault="00000000">
            <w:pPr>
              <w:rPr>
                <w:rFonts w:ascii="Calibri" w:eastAsia="Calibri" w:hAnsi="Calibri" w:cs="Calibri"/>
                <w:b/>
              </w:rPr>
            </w:pPr>
            <w:r>
              <w:rPr>
                <w:rFonts w:ascii="Calibri" w:eastAsia="Calibri" w:hAnsi="Calibri" w:cs="Calibri"/>
                <w:b/>
                <w:sz w:val="18"/>
              </w:rPr>
              <w:t>Parameter</w:t>
            </w:r>
          </w:p>
        </w:tc>
        <w:tc>
          <w:tcPr>
            <w:tcW w:w="5580" w:type="dxa"/>
          </w:tcPr>
          <w:p w:rsidR="008A6F69" w:rsidRDefault="00000000">
            <w:pPr>
              <w:rPr>
                <w:rFonts w:ascii="Calibri" w:eastAsia="Calibri" w:hAnsi="Calibri" w:cs="Calibri"/>
                <w:b/>
              </w:rPr>
            </w:pPr>
            <w:r>
              <w:rPr>
                <w:rFonts w:ascii="Calibri" w:eastAsia="Calibri" w:hAnsi="Calibri" w:cs="Calibri"/>
                <w:b/>
                <w:sz w:val="18"/>
              </w:rPr>
              <w:t>Screenshot / Values</w:t>
            </w:r>
          </w:p>
        </w:tc>
      </w:tr>
      <w:tr w:rsidR="008A6F69">
        <w:trPr>
          <w:trHeight w:val="817"/>
        </w:trPr>
        <w:tc>
          <w:tcPr>
            <w:tcW w:w="735" w:type="dxa"/>
            <w:vAlign w:val="center"/>
          </w:tcPr>
          <w:p w:rsidR="008A6F69" w:rsidRDefault="00000000">
            <w:r>
              <w:rPr>
                <w:rFonts w:ascii="Calibri" w:hAnsi="Calibri"/>
                <w:b/>
                <w:sz w:val="18"/>
              </w:rPr>
              <w:t>1.</w:t>
            </w:r>
          </w:p>
        </w:tc>
        <w:tc>
          <w:tcPr>
            <w:tcW w:w="2565" w:type="dxa"/>
            <w:vAlign w:val="center"/>
          </w:tcPr>
          <w:p w:rsidR="008A6F69" w:rsidRDefault="00000000">
            <w:r>
              <w:rPr>
                <w:rFonts w:ascii="Calibri" w:hAnsi="Calibri"/>
                <w:b/>
                <w:sz w:val="18"/>
              </w:rPr>
              <w:t>Service Catalog Request</w:t>
            </w:r>
          </w:p>
        </w:tc>
        <w:tc>
          <w:tcPr>
            <w:tcW w:w="5580" w:type="dxa"/>
            <w:vAlign w:val="center"/>
          </w:tcPr>
          <w:p w:rsidR="008A6F69" w:rsidRDefault="00000000">
            <w:r>
              <w:rPr>
                <w:rFonts w:ascii="Calibri" w:hAnsi="Calibri"/>
                <w:sz w:val="16"/>
              </w:rPr>
              <w:t>Standard laptop request is submitted through the Service Catalog. The request captures the laptop requirement and starts the procurement workflow.</w:t>
            </w:r>
          </w:p>
          <w:p w:rsidR="008A6F69" w:rsidRDefault="00000000">
            <w:pPr>
              <w:jc w:val="center"/>
            </w:pPr>
            <w:r>
              <w:rPr>
                <w:noProof/>
              </w:rPr>
              <w:drawing>
                <wp:inline distT="0" distB="0" distL="0" distR="0">
                  <wp:extent cx="1828800" cy="810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1.jpeg"/>
                          <pic:cNvPicPr/>
                        </pic:nvPicPr>
                        <pic:blipFill>
                          <a:blip r:embed="rId6"/>
                          <a:stretch>
                            <a:fillRect/>
                          </a:stretch>
                        </pic:blipFill>
                        <pic:spPr>
                          <a:xfrm>
                            <a:off x="0" y="0"/>
                            <a:ext cx="1828800" cy="810668"/>
                          </a:xfrm>
                          <a:prstGeom prst="rect">
                            <a:avLst/>
                          </a:prstGeom>
                        </pic:spPr>
                      </pic:pic>
                    </a:graphicData>
                  </a:graphic>
                </wp:inline>
              </w:drawing>
            </w:r>
          </w:p>
        </w:tc>
      </w:tr>
      <w:tr w:rsidR="008A6F69">
        <w:trPr>
          <w:trHeight w:val="817"/>
        </w:trPr>
        <w:tc>
          <w:tcPr>
            <w:tcW w:w="735" w:type="dxa"/>
            <w:vAlign w:val="center"/>
          </w:tcPr>
          <w:p w:rsidR="008A6F69" w:rsidRDefault="00000000">
            <w:r>
              <w:rPr>
                <w:rFonts w:ascii="Calibri" w:hAnsi="Calibri"/>
                <w:b/>
                <w:sz w:val="18"/>
              </w:rPr>
              <w:t>2.</w:t>
            </w:r>
          </w:p>
        </w:tc>
        <w:tc>
          <w:tcPr>
            <w:tcW w:w="2565" w:type="dxa"/>
            <w:vAlign w:val="center"/>
          </w:tcPr>
          <w:p w:rsidR="008A6F69" w:rsidRDefault="00000000">
            <w:r>
              <w:rPr>
                <w:rFonts w:ascii="Calibri" w:hAnsi="Calibri"/>
                <w:b/>
                <w:sz w:val="18"/>
              </w:rPr>
              <w:t>Flow Trigger Configuration</w:t>
            </w:r>
          </w:p>
        </w:tc>
        <w:tc>
          <w:tcPr>
            <w:tcW w:w="5580" w:type="dxa"/>
            <w:vAlign w:val="center"/>
          </w:tcPr>
          <w:p w:rsidR="008A6F69" w:rsidRDefault="00000000">
            <w:r>
              <w:rPr>
                <w:rFonts w:ascii="Calibri" w:hAnsi="Calibri"/>
                <w:sz w:val="16"/>
              </w:rPr>
              <w:t>The flow is configured with a Service Catalog trigger so that the workflow starts when the relevant standard laptop request is created/submitted.</w:t>
            </w:r>
          </w:p>
          <w:p w:rsidR="008A6F69" w:rsidRDefault="00000000">
            <w:pPr>
              <w:jc w:val="center"/>
            </w:pPr>
            <w:r>
              <w:rPr>
                <w:noProof/>
              </w:rPr>
              <w:drawing>
                <wp:inline distT="0" distB="0" distL="0" distR="0">
                  <wp:extent cx="1828800" cy="533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1.jpeg"/>
                          <pic:cNvPicPr/>
                        </pic:nvPicPr>
                        <pic:blipFill>
                          <a:blip r:embed="rId7"/>
                          <a:stretch>
                            <a:fillRect/>
                          </a:stretch>
                        </pic:blipFill>
                        <pic:spPr>
                          <a:xfrm>
                            <a:off x="0" y="0"/>
                            <a:ext cx="1828800" cy="533185"/>
                          </a:xfrm>
                          <a:prstGeom prst="rect">
                            <a:avLst/>
                          </a:prstGeom>
                        </pic:spPr>
                      </pic:pic>
                    </a:graphicData>
                  </a:graphic>
                </wp:inline>
              </w:drawing>
            </w:r>
          </w:p>
        </w:tc>
      </w:tr>
      <w:tr w:rsidR="008A6F69">
        <w:trPr>
          <w:trHeight w:val="817"/>
        </w:trPr>
        <w:tc>
          <w:tcPr>
            <w:tcW w:w="735" w:type="dxa"/>
            <w:vAlign w:val="center"/>
          </w:tcPr>
          <w:p w:rsidR="008A6F69" w:rsidRDefault="00000000">
            <w:r>
              <w:rPr>
                <w:rFonts w:ascii="Calibri" w:hAnsi="Calibri"/>
                <w:b/>
                <w:sz w:val="18"/>
              </w:rPr>
              <w:t>3.</w:t>
            </w:r>
          </w:p>
        </w:tc>
        <w:tc>
          <w:tcPr>
            <w:tcW w:w="2565" w:type="dxa"/>
            <w:vAlign w:val="center"/>
          </w:tcPr>
          <w:p w:rsidR="008A6F69" w:rsidRDefault="00000000">
            <w:r>
              <w:rPr>
                <w:rFonts w:ascii="Calibri" w:hAnsi="Calibri"/>
                <w:b/>
                <w:sz w:val="18"/>
              </w:rPr>
              <w:t>Catalog Task Creation</w:t>
            </w:r>
          </w:p>
        </w:tc>
        <w:tc>
          <w:tcPr>
            <w:tcW w:w="5580" w:type="dxa"/>
            <w:vAlign w:val="center"/>
          </w:tcPr>
          <w:p w:rsidR="008A6F69" w:rsidRDefault="00000000">
            <w:r>
              <w:rPr>
                <w:rFonts w:ascii="Calibri" w:hAnsi="Calibri"/>
                <w:sz w:val="16"/>
              </w:rPr>
              <w:t>After the required trigger/approval condition, the flow uses the Create Catalog Task action to generate the configuration task.</w:t>
            </w:r>
          </w:p>
          <w:p w:rsidR="008A6F69" w:rsidRDefault="00000000">
            <w:pPr>
              <w:jc w:val="center"/>
            </w:pPr>
            <w:r>
              <w:rPr>
                <w:noProof/>
              </w:rPr>
              <w:drawing>
                <wp:inline distT="0" distB="0" distL="0" distR="0">
                  <wp:extent cx="1828800" cy="1507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1.jpeg"/>
                          <pic:cNvPicPr/>
                        </pic:nvPicPr>
                        <pic:blipFill>
                          <a:blip r:embed="rId8"/>
                          <a:stretch>
                            <a:fillRect/>
                          </a:stretch>
                        </pic:blipFill>
                        <pic:spPr>
                          <a:xfrm>
                            <a:off x="0" y="0"/>
                            <a:ext cx="1828800" cy="1507678"/>
                          </a:xfrm>
                          <a:prstGeom prst="rect">
                            <a:avLst/>
                          </a:prstGeom>
                        </pic:spPr>
                      </pic:pic>
                    </a:graphicData>
                  </a:graphic>
                </wp:inline>
              </w:drawing>
            </w:r>
          </w:p>
        </w:tc>
      </w:tr>
      <w:tr w:rsidR="008A6F69">
        <w:trPr>
          <w:trHeight w:val="817"/>
        </w:trPr>
        <w:tc>
          <w:tcPr>
            <w:tcW w:w="735" w:type="dxa"/>
            <w:vAlign w:val="center"/>
          </w:tcPr>
          <w:p w:rsidR="008A6F69" w:rsidRDefault="00000000">
            <w:r>
              <w:rPr>
                <w:rFonts w:ascii="Calibri" w:hAnsi="Calibri"/>
                <w:b/>
                <w:sz w:val="18"/>
              </w:rPr>
              <w:t>4.</w:t>
            </w:r>
          </w:p>
        </w:tc>
        <w:tc>
          <w:tcPr>
            <w:tcW w:w="2565" w:type="dxa"/>
            <w:vAlign w:val="center"/>
          </w:tcPr>
          <w:p w:rsidR="008A6F69" w:rsidRDefault="00000000">
            <w:r>
              <w:rPr>
                <w:rFonts w:ascii="Calibri" w:hAnsi="Calibri"/>
                <w:b/>
                <w:sz w:val="18"/>
              </w:rPr>
              <w:t>Approval &amp; Hardware Assignment</w:t>
            </w:r>
          </w:p>
        </w:tc>
        <w:tc>
          <w:tcPr>
            <w:tcW w:w="5580" w:type="dxa"/>
            <w:vAlign w:val="center"/>
          </w:tcPr>
          <w:p w:rsidR="008A6F69" w:rsidRDefault="00000000">
            <w:r>
              <w:rPr>
                <w:rFonts w:ascii="Calibri" w:hAnsi="Calibri"/>
                <w:sz w:val="16"/>
              </w:rPr>
              <w:t>The request is routed through approval and the created configuration task is assigned to the appropriate Hardware team.</w:t>
            </w:r>
          </w:p>
          <w:p w:rsidR="008A6F69" w:rsidRDefault="00000000">
            <w:pPr>
              <w:jc w:val="center"/>
            </w:pPr>
            <w:r>
              <w:rPr>
                <w:noProof/>
              </w:rPr>
              <w:drawing>
                <wp:inline distT="0" distB="0" distL="0" distR="0">
                  <wp:extent cx="1828800" cy="9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2.jpeg"/>
                          <pic:cNvPicPr/>
                        </pic:nvPicPr>
                        <pic:blipFill>
                          <a:blip r:embed="rId9"/>
                          <a:stretch>
                            <a:fillRect/>
                          </a:stretch>
                        </pic:blipFill>
                        <pic:spPr>
                          <a:xfrm>
                            <a:off x="0" y="0"/>
                            <a:ext cx="1828800" cy="986250"/>
                          </a:xfrm>
                          <a:prstGeom prst="rect">
                            <a:avLst/>
                          </a:prstGeom>
                        </pic:spPr>
                      </pic:pic>
                    </a:graphicData>
                  </a:graphic>
                </wp:inline>
              </w:drawing>
            </w:r>
          </w:p>
        </w:tc>
      </w:tr>
      <w:tr w:rsidR="008A6F69">
        <w:trPr>
          <w:trHeight w:val="817"/>
        </w:trPr>
        <w:tc>
          <w:tcPr>
            <w:tcW w:w="735" w:type="dxa"/>
            <w:vAlign w:val="center"/>
          </w:tcPr>
          <w:p w:rsidR="008A6F69" w:rsidRDefault="00000000">
            <w:r>
              <w:rPr>
                <w:rFonts w:ascii="Calibri" w:hAnsi="Calibri"/>
                <w:b/>
                <w:sz w:val="18"/>
              </w:rPr>
              <w:t>5.</w:t>
            </w:r>
          </w:p>
        </w:tc>
        <w:tc>
          <w:tcPr>
            <w:tcW w:w="2565" w:type="dxa"/>
            <w:vAlign w:val="center"/>
          </w:tcPr>
          <w:p w:rsidR="008A6F69" w:rsidRDefault="00000000">
            <w:r>
              <w:rPr>
                <w:rFonts w:ascii="Calibri" w:hAnsi="Calibri"/>
                <w:b/>
                <w:sz w:val="18"/>
              </w:rPr>
              <w:t>Workflow Testing</w:t>
            </w:r>
          </w:p>
        </w:tc>
        <w:tc>
          <w:tcPr>
            <w:tcW w:w="5580" w:type="dxa"/>
            <w:vAlign w:val="center"/>
          </w:tcPr>
          <w:p w:rsidR="008A6F69" w:rsidRDefault="00000000">
            <w:r>
              <w:rPr>
                <w:rFonts w:ascii="Calibri" w:hAnsi="Calibri"/>
                <w:sz w:val="16"/>
              </w:rPr>
              <w:t>The service catalog request and flow are tested to verify that the trigger runs correctly and the workflow produces the expected task.</w:t>
            </w:r>
          </w:p>
          <w:p w:rsidR="008A6F69" w:rsidRDefault="00000000">
            <w:pPr>
              <w:jc w:val="center"/>
            </w:pPr>
            <w:r>
              <w:rPr>
                <w:noProof/>
              </w:rPr>
              <w:drawing>
                <wp:inline distT="0" distB="0" distL="0" distR="0">
                  <wp:extent cx="1828800" cy="1120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2.jpeg"/>
                          <pic:cNvPicPr/>
                        </pic:nvPicPr>
                        <pic:blipFill>
                          <a:blip r:embed="rId10"/>
                          <a:stretch>
                            <a:fillRect/>
                          </a:stretch>
                        </pic:blipFill>
                        <pic:spPr>
                          <a:xfrm>
                            <a:off x="0" y="0"/>
                            <a:ext cx="1828800" cy="1120234"/>
                          </a:xfrm>
                          <a:prstGeom prst="rect">
                            <a:avLst/>
                          </a:prstGeom>
                        </pic:spPr>
                      </pic:pic>
                    </a:graphicData>
                  </a:graphic>
                </wp:inline>
              </w:drawing>
            </w:r>
          </w:p>
        </w:tc>
      </w:tr>
      <w:tr w:rsidR="008A6F69">
        <w:trPr>
          <w:trHeight w:val="817"/>
        </w:trPr>
        <w:tc>
          <w:tcPr>
            <w:tcW w:w="735" w:type="dxa"/>
            <w:vAlign w:val="center"/>
          </w:tcPr>
          <w:p w:rsidR="008A6F69" w:rsidRDefault="00000000">
            <w:r>
              <w:rPr>
                <w:rFonts w:ascii="Calibri" w:hAnsi="Calibri"/>
                <w:b/>
                <w:sz w:val="18"/>
              </w:rPr>
              <w:t>6.</w:t>
            </w:r>
          </w:p>
        </w:tc>
        <w:tc>
          <w:tcPr>
            <w:tcW w:w="2565" w:type="dxa"/>
            <w:vAlign w:val="center"/>
          </w:tcPr>
          <w:p w:rsidR="008A6F69" w:rsidRDefault="00000000">
            <w:r>
              <w:rPr>
                <w:rFonts w:ascii="Calibri" w:hAnsi="Calibri"/>
                <w:b/>
                <w:sz w:val="18"/>
              </w:rPr>
              <w:t>Workflow Output</w:t>
            </w:r>
          </w:p>
        </w:tc>
        <w:tc>
          <w:tcPr>
            <w:tcW w:w="5580" w:type="dxa"/>
            <w:vAlign w:val="center"/>
          </w:tcPr>
          <w:p w:rsidR="008A6F69" w:rsidRDefault="00000000">
            <w:r>
              <w:rPr>
                <w:rFonts w:ascii="Calibri" w:hAnsi="Calibri"/>
                <w:sz w:val="16"/>
              </w:rPr>
              <w:t>The completed workflow results in a standard laptop configuration task and supports prompt laptop preparation after approval.</w:t>
            </w:r>
          </w:p>
          <w:p w:rsidR="008A6F69" w:rsidRDefault="00000000">
            <w:pPr>
              <w:jc w:val="center"/>
            </w:pPr>
            <w:r>
              <w:rPr>
                <w:noProof/>
              </w:rPr>
              <w:lastRenderedPageBreak/>
              <w:drawing>
                <wp:inline distT="0" distB="0" distL="0" distR="0">
                  <wp:extent cx="1828800" cy="801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1.jpeg"/>
                          <pic:cNvPicPr/>
                        </pic:nvPicPr>
                        <pic:blipFill>
                          <a:blip r:embed="rId11"/>
                          <a:stretch>
                            <a:fillRect/>
                          </a:stretch>
                        </pic:blipFill>
                        <pic:spPr>
                          <a:xfrm>
                            <a:off x="0" y="0"/>
                            <a:ext cx="1828800" cy="801466"/>
                          </a:xfrm>
                          <a:prstGeom prst="rect">
                            <a:avLst/>
                          </a:prstGeom>
                        </pic:spPr>
                      </pic:pic>
                    </a:graphicData>
                  </a:graphic>
                </wp:inline>
              </w:drawing>
            </w:r>
          </w:p>
        </w:tc>
      </w:tr>
    </w:tbl>
    <w:p w:rsidR="008A6F69" w:rsidRDefault="008A6F69">
      <w:pPr>
        <w:spacing w:after="40" w:line="259" w:lineRule="auto"/>
        <w:rPr>
          <w:rFonts w:ascii="Calibri" w:eastAsia="Calibri" w:hAnsi="Calibri" w:cs="Calibri"/>
        </w:rPr>
      </w:pPr>
    </w:p>
    <w:p w:rsidR="008A6F69" w:rsidRDefault="008A6F69">
      <w:pPr>
        <w:spacing w:after="40"/>
      </w:pPr>
    </w:p>
    <w:p w:rsidR="008A6F69" w:rsidRDefault="008A6F69">
      <w:pPr>
        <w:spacing w:after="40"/>
      </w:pPr>
    </w:p>
    <w:p w:rsidR="008A6F69" w:rsidRDefault="008A6F69">
      <w:pPr>
        <w:spacing w:after="40"/>
      </w:pPr>
    </w:p>
    <w:p w:rsidR="008A6F69" w:rsidRDefault="00000000">
      <w:pPr>
        <w:spacing w:before="160"/>
      </w:pPr>
      <w:r>
        <w:rPr>
          <w:rFonts w:ascii="Calibri" w:hAnsi="Calibri"/>
          <w:b/>
        </w:rPr>
        <w:t>Workflow Summary</w:t>
      </w:r>
    </w:p>
    <w:p w:rsidR="008A6F69" w:rsidRDefault="00000000">
      <w:pPr>
        <w:spacing w:after="20"/>
      </w:pPr>
      <w:r>
        <w:rPr>
          <w:rFonts w:ascii="Calibri" w:hAnsi="Calibri"/>
          <w:sz w:val="18"/>
        </w:rPr>
        <w:t>• User submits a Standard Laptop Request through the Service Catalog.</w:t>
      </w:r>
    </w:p>
    <w:p w:rsidR="008A6F69" w:rsidRDefault="00000000">
      <w:pPr>
        <w:spacing w:after="20"/>
      </w:pPr>
      <w:r>
        <w:rPr>
          <w:rFonts w:ascii="Calibri" w:hAnsi="Calibri"/>
          <w:sz w:val="18"/>
        </w:rPr>
        <w:t>• The Service Catalog trigger starts the Flow Designer workflow.</w:t>
      </w:r>
    </w:p>
    <w:p w:rsidR="008A6F69" w:rsidRDefault="00000000">
      <w:pPr>
        <w:spacing w:after="20"/>
      </w:pPr>
      <w:r>
        <w:rPr>
          <w:rFonts w:ascii="Calibri" w:hAnsi="Calibri"/>
          <w:sz w:val="18"/>
        </w:rPr>
        <w:t>• The flow creates a Catalog Task for laptop configuration.</w:t>
      </w:r>
    </w:p>
    <w:p w:rsidR="008A6F69" w:rsidRDefault="00000000">
      <w:pPr>
        <w:spacing w:after="20"/>
      </w:pPr>
      <w:r>
        <w:rPr>
          <w:rFonts w:ascii="Calibri" w:hAnsi="Calibri"/>
          <w:sz w:val="18"/>
        </w:rPr>
        <w:t>• Approval and Hardware team assignment are handled within the workflow.</w:t>
      </w:r>
    </w:p>
    <w:p w:rsidR="008A6F69" w:rsidRDefault="00000000">
      <w:pPr>
        <w:spacing w:after="20"/>
      </w:pPr>
      <w:r>
        <w:rPr>
          <w:rFonts w:ascii="Calibri" w:hAnsi="Calibri"/>
          <w:sz w:val="18"/>
        </w:rPr>
        <w:t>• Testing confirms that the workflow produces the expected configuration task.</w:t>
      </w:r>
    </w:p>
    <w:p w:rsidR="008A6F69" w:rsidRDefault="00000000">
      <w:pPr>
        <w:spacing w:before="120"/>
      </w:pPr>
      <w:r>
        <w:rPr>
          <w:rFonts w:ascii="Calibri" w:hAnsi="Calibri"/>
          <w:b/>
        </w:rPr>
        <w:t>Conclusion</w:t>
      </w:r>
    </w:p>
    <w:p w:rsidR="008A6F69" w:rsidRDefault="00000000">
      <w:r>
        <w:rPr>
          <w:rFonts w:ascii="Calibri" w:hAnsi="Calibri"/>
          <w:sz w:val="18"/>
        </w:rPr>
        <w:t>The automated ServiceNow Flow Designer workflow reduces manual intervention in standard laptop procurement. By creating and assigning the configuration task after the required approval, the process helps reduce user waiting time, avoid missed or delayed tasks, and improve procurement efficiency.</w:t>
      </w:r>
    </w:p>
    <w:sectPr w:rsidR="008A6F69">
      <w:pgSz w:w="12240" w:h="15840"/>
      <w:pgMar w:top="648" w:right="792" w:bottom="648"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80537"/>
    <w:multiLevelType w:val="multilevel"/>
    <w:tmpl w:val="7AEC2B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4016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F69"/>
    <w:rsid w:val="008A6F69"/>
    <w:rsid w:val="009E4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98E3C"/>
  <w15:docId w15:val="{5FBE8D9B-9DDE-467E-93CB-4DA87874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Renuga Renu</cp:lastModifiedBy>
  <cp:revision>2</cp:revision>
  <dcterms:created xsi:type="dcterms:W3CDTF">2026-10-08T14:42:00Z</dcterms:created>
  <dcterms:modified xsi:type="dcterms:W3CDTF">2026-10-08T14:43:00Z</dcterms:modified>
</cp:coreProperties>
</file>