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9100MindMesh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Streamlite 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Regression / Classification Model:</w:t>
              <w:br w:type="textWrapping"/>
            </w:r>
            <w:r>
              <w:rPr>
                <w:rFonts w:ascii="Calibri" w:cs="Calibri" w:eastAsia="Calibri" w:hAnsi="Calibri"/>
              </w:rPr>
              <w:t xml:space="preserve">Not applicable – Streamlite is a rule-based ServiceNow Flow Designer automation; no machine learning model is used.</w:t>
              <w:br w:type="textWrapping"/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Functional test result:</w:t>
              <w:br w:type="textWrapping"/>
            </w:r>
            <w:r>
              <w:rPr>
                <w:rFonts w:ascii="Calibri" w:cs="Calibri" w:eastAsia="Calibri" w:hAnsi="Calibri"/>
              </w:rPr>
              <w:t xml:space="preserve">Standard Laptop request REQ0010001 placed → approval requested and approved → flow triggered → catalog task SCTASK0010001 created automatically (Assignment group: Hardware; Short description: Laptop needs to be configured). Result: Passed.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1645920" cy="517042"/>
                  <wp:effectExtent l="0" t="0" r="0" b="0"/>
                  <wp:docPr id="101" name="shot1.png" descr="ServiceNow requested item RITM0010001 showing catalog task SCTASK0010001 assigned to the Hardware group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" name="shot1.png" descr="ServiceNow requested item RITM0010001 showing catalog task SCTASK0010001 assigned to the Hardware group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51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Hyperparameter Tuning - </w:t>
            </w:r>
            <w:r>
              <w:rPr>
                <w:rFonts w:ascii="Calibri" w:cs="Calibri" w:eastAsia="Calibri" w:hAnsi="Calibri"/>
              </w:rPr>
              <w:t xml:space="preserve">Not applicable (no ML model).</w:t>
              <w:br w:type="textWrapping"/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Validation Method - </w:t>
            </w:r>
            <w:r>
              <w:rPr>
                <w:rFonts w:ascii="Calibri" w:cs="Calibri" w:eastAsia="Calibri" w:hAnsi="Calibri"/>
              </w:rPr>
              <w:t xml:space="preserve">End-to-end test order through the Service Catalog (REQ → RITM → SCTASK). Flow configured with Application: Global, Run As: System User, Approval: Approved, then assigned under Process Engine of the Standard Laptop catalog item and activated.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1645920" cy="418454"/>
                  <wp:effectExtent l="0" t="0" r="0" b="0"/>
                  <wp:docPr id="102" name="shot2.png" descr="Standard Laptop catalog item with the Standard Laptop task flow set under Process Engin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shot2.png" descr="Standard Laptop catalog item with the Standard Laptop task flow set under Process Engin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1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0" Type="http://schemas.openxmlformats.org/officeDocument/2006/relationships/image" Target="media/shot1.png"/><Relationship Id="rId21" Type="http://schemas.openxmlformats.org/officeDocument/2006/relationships/image" Target="media/shot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