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Problem–Solution Fit</w:t>
      </w:r>
    </w:p>
    <w:p>
      <w:pPr>
        <w:jc w:val="center"/>
      </w:pPr>
      <w:r>
        <w:rPr>
          <w:b/>
          <w:sz w:val="28"/>
        </w:rPr>
        <w:t>Incident Lifecycle Automation in ServiceNow</w:t>
      </w:r>
    </w:p>
    <w:p>
      <w:pPr>
        <w:jc w:val="center"/>
      </w:pPr>
      <w:r>
        <w:rPr>
          <w:sz w:val="20"/>
        </w:rPr>
        <w:t>Date: 12 September 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Date</w:t>
            </w:r>
          </w:p>
        </w:tc>
        <w:tc>
          <w:tcPr>
            <w:tcW w:type="dxa" w:w="5112"/>
            <w:vAlign w:val="center"/>
          </w:tcPr>
          <w:p>
            <w:r/>
            <w:r>
              <w:rPr>
                <w:rFonts w:ascii="Aptos" w:hAnsi="Aptos"/>
                <w:b w:val="0"/>
                <w:sz w:val="19"/>
              </w:rPr>
              <w:t>12 September 2026</w:t>
            </w:r>
          </w:p>
        </w:tc>
      </w:tr>
      <w:tr>
        <w:tc>
          <w:tcPr>
            <w:tcW w:type="dxa" w:w="5112"/>
            <w:vAlign w:val="center"/>
            <w:shd w:fill="D9EAF7"/>
          </w:tcPr>
          <w:p>
            <w:r/>
            <w:r>
              <w:rPr>
                <w:rFonts w:ascii="Aptos" w:hAnsi="Aptos"/>
                <w:b/>
                <w:sz w:val="19"/>
              </w:rPr>
              <w:t>Team ID</w:t>
            </w:r>
          </w:p>
        </w:tc>
        <w:tc>
          <w:tcPr>
            <w:tcW w:type="dxa" w:w="5112"/>
            <w:vAlign w:val="center"/>
          </w:tcPr>
          <w:p>
            <w:r/>
            <w:r>
              <w:rPr>
                <w:rFonts w:ascii="Aptos" w:hAnsi="Aptos"/>
                <w:b w:val="0"/>
                <w:sz w:val="19"/>
              </w:rPr>
              <w:t>—</w:t>
            </w:r>
          </w:p>
        </w:tc>
      </w:tr>
      <w:tr>
        <w:tc>
          <w:tcPr>
            <w:tcW w:type="dxa" w:w="5112"/>
            <w:vAlign w:val="center"/>
            <w:shd w:fill="D9EAF7"/>
          </w:tcPr>
          <w:p>
            <w:r/>
            <w:r>
              <w:rPr>
                <w:rFonts w:ascii="Aptos" w:hAnsi="Aptos"/>
                <w:b/>
                <w:sz w:val="19"/>
              </w:rPr>
              <w:t>Project Name</w:t>
            </w:r>
          </w:p>
        </w:tc>
        <w:tc>
          <w:tcPr>
            <w:tcW w:type="dxa" w:w="5112"/>
            <w:vAlign w:val="center"/>
          </w:tcPr>
          <w:p>
            <w:r/>
            <w:r>
              <w:rPr>
                <w:rFonts w:ascii="Aptos" w:hAnsi="Aptos"/>
                <w:b w:val="0"/>
                <w:sz w:val="19"/>
              </w:rPr>
              <w:t>Incident Lifecycle Automation in ServiceNow</w:t>
            </w:r>
          </w:p>
        </w:tc>
      </w:tr>
      <w:tr>
        <w:tc>
          <w:tcPr>
            <w:tcW w:type="dxa" w:w="5112"/>
            <w:vAlign w:val="center"/>
            <w:shd w:fill="D9EAF7"/>
          </w:tcPr>
          <w:p>
            <w:r/>
            <w:r>
              <w:rPr>
                <w:rFonts w:ascii="Aptos" w:hAnsi="Aptos"/>
                <w:b/>
                <w:sz w:val="19"/>
              </w:rPr>
              <w:t>Maximum Marks</w:t>
            </w:r>
          </w:p>
        </w:tc>
        <w:tc>
          <w:tcPr>
            <w:tcW w:type="dxa" w:w="5112"/>
            <w:vAlign w:val="center"/>
          </w:tcPr>
          <w:p>
            <w:r/>
            <w:r>
              <w:rPr>
                <w:rFonts w:ascii="Aptos" w:hAnsi="Aptos"/>
                <w:b w:val="0"/>
                <w:sz w:val="19"/>
              </w:rPr>
              <w:t>4 Marks</w:t>
            </w:r>
          </w:p>
        </w:tc>
      </w:tr>
    </w:tbl>
    <w:p/>
    <w:p>
      <w:pPr>
        <w:pStyle w:val="Heading1"/>
      </w:pPr>
      <w:r>
        <w:t>1. Problem Summary</w:t>
      </w:r>
    </w:p>
    <w:p>
      <w:r>
        <w:t>VPN incidents can require several coordinated actions: accurate classification, knowledge lookup, specialist escalation, infrastructure change, related incident tracking, resolution documentation and SLA monitoring. When these activities are fragmented, agents may spend more time coordinating work and future incidents may repeat the same troubleshooting effort.</w:t>
      </w:r>
    </w:p>
    <w:p>
      <w:pPr>
        <w:pStyle w:val="Heading1"/>
      </w:pPr>
      <w:r>
        <w:t>2. Problem–Solution Fit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7"/>
              </w:rPr>
              <w:t>Problem</w:t>
            </w:r>
          </w:p>
        </w:tc>
        <w:tc>
          <w:tcPr>
            <w:tcW w:type="dxa" w:w="2556"/>
            <w:vAlign w:val="center"/>
            <w:shd w:fill="D9EAF7"/>
          </w:tcPr>
          <w:p>
            <w:r/>
            <w:r>
              <w:rPr>
                <w:rFonts w:ascii="Aptos" w:hAnsi="Aptos"/>
                <w:b/>
                <w:sz w:val="17"/>
              </w:rPr>
              <w:t>User Need</w:t>
            </w:r>
          </w:p>
        </w:tc>
        <w:tc>
          <w:tcPr>
            <w:tcW w:type="dxa" w:w="2556"/>
            <w:vAlign w:val="center"/>
            <w:shd w:fill="D9EAF7"/>
          </w:tcPr>
          <w:p>
            <w:r/>
            <w:r>
              <w:rPr>
                <w:rFonts w:ascii="Aptos" w:hAnsi="Aptos"/>
                <w:b/>
                <w:sz w:val="17"/>
              </w:rPr>
              <w:t>Solution</w:t>
            </w:r>
          </w:p>
        </w:tc>
        <w:tc>
          <w:tcPr>
            <w:tcW w:type="dxa" w:w="2556"/>
            <w:vAlign w:val="center"/>
            <w:shd w:fill="D9EAF7"/>
          </w:tcPr>
          <w:p>
            <w:r/>
            <w:r>
              <w:rPr>
                <w:rFonts w:ascii="Aptos" w:hAnsi="Aptos"/>
                <w:b/>
                <w:sz w:val="17"/>
              </w:rPr>
              <w:t>Fit / Acceptance Evidence</w:t>
            </w:r>
          </w:p>
        </w:tc>
      </w:tr>
      <w:tr>
        <w:tc>
          <w:tcPr>
            <w:tcW w:type="dxa" w:w="2556"/>
            <w:vAlign w:val="center"/>
          </w:tcPr>
          <w:p>
            <w:r/>
            <w:r>
              <w:rPr>
                <w:rFonts w:ascii="Aptos" w:hAnsi="Aptos"/>
                <w:b w:val="0"/>
                <w:sz w:val="17"/>
              </w:rPr>
              <w:t>Inconsistent incident intake</w:t>
            </w:r>
          </w:p>
        </w:tc>
        <w:tc>
          <w:tcPr>
            <w:tcW w:type="dxa" w:w="2556"/>
            <w:vAlign w:val="center"/>
          </w:tcPr>
          <w:p>
            <w:r/>
            <w:r>
              <w:rPr>
                <w:rFonts w:ascii="Aptos" w:hAnsi="Aptos"/>
                <w:b w:val="0"/>
                <w:sz w:val="17"/>
              </w:rPr>
              <w:t>Agents need a structured way to capture essential information.</w:t>
            </w:r>
          </w:p>
        </w:tc>
        <w:tc>
          <w:tcPr>
            <w:tcW w:type="dxa" w:w="2556"/>
            <w:vAlign w:val="center"/>
          </w:tcPr>
          <w:p>
            <w:r/>
            <w:r>
              <w:rPr>
                <w:rFonts w:ascii="Aptos" w:hAnsi="Aptos"/>
                <w:b w:val="0"/>
                <w:sz w:val="17"/>
              </w:rPr>
              <w:t>Standard incident creation and classification</w:t>
            </w:r>
          </w:p>
        </w:tc>
        <w:tc>
          <w:tcPr>
            <w:tcW w:type="dxa" w:w="2556"/>
            <w:vAlign w:val="center"/>
          </w:tcPr>
          <w:p>
            <w:r/>
            <w:r>
              <w:rPr>
                <w:rFonts w:ascii="Aptos" w:hAnsi="Aptos"/>
                <w:b w:val="0"/>
                <w:sz w:val="17"/>
              </w:rPr>
              <w:t>Complete caller, description, category, urgency, service and CI fields.</w:t>
            </w:r>
          </w:p>
        </w:tc>
      </w:tr>
      <w:tr>
        <w:tc>
          <w:tcPr>
            <w:tcW w:type="dxa" w:w="2556"/>
            <w:vAlign w:val="center"/>
          </w:tcPr>
          <w:p>
            <w:r/>
            <w:r>
              <w:rPr>
                <w:rFonts w:ascii="Aptos" w:hAnsi="Aptos"/>
                <w:b w:val="0"/>
                <w:sz w:val="17"/>
              </w:rPr>
              <w:t>Slow or unclear escalation</w:t>
            </w:r>
          </w:p>
        </w:tc>
        <w:tc>
          <w:tcPr>
            <w:tcW w:type="dxa" w:w="2556"/>
            <w:vAlign w:val="center"/>
          </w:tcPr>
          <w:p>
            <w:r/>
            <w:r>
              <w:rPr>
                <w:rFonts w:ascii="Aptos" w:hAnsi="Aptos"/>
                <w:b w:val="0"/>
                <w:sz w:val="17"/>
              </w:rPr>
              <w:t>Specialist ownership may not be established quickly.</w:t>
            </w:r>
          </w:p>
        </w:tc>
        <w:tc>
          <w:tcPr>
            <w:tcW w:type="dxa" w:w="2556"/>
            <w:vAlign w:val="center"/>
          </w:tcPr>
          <w:p>
            <w:r/>
            <w:r>
              <w:rPr>
                <w:rFonts w:ascii="Aptos" w:hAnsi="Aptos"/>
                <w:b w:val="0"/>
                <w:sz w:val="17"/>
              </w:rPr>
              <w:t>Level 2 assignment/reassignment</w:t>
            </w:r>
          </w:p>
        </w:tc>
        <w:tc>
          <w:tcPr>
            <w:tcW w:type="dxa" w:w="2556"/>
            <w:vAlign w:val="center"/>
          </w:tcPr>
          <w:p>
            <w:r/>
            <w:r>
              <w:rPr>
                <w:rFonts w:ascii="Aptos" w:hAnsi="Aptos"/>
                <w:b w:val="0"/>
                <w:sz w:val="17"/>
              </w:rPr>
              <w:t>Incident is assigned to an appropriate Level 2 support team/agent.</w:t>
            </w:r>
          </w:p>
        </w:tc>
      </w:tr>
      <w:tr>
        <w:tc>
          <w:tcPr>
            <w:tcW w:type="dxa" w:w="2556"/>
            <w:vAlign w:val="center"/>
          </w:tcPr>
          <w:p>
            <w:r/>
            <w:r>
              <w:rPr>
                <w:rFonts w:ascii="Aptos" w:hAnsi="Aptos"/>
                <w:b w:val="0"/>
                <w:sz w:val="17"/>
              </w:rPr>
              <w:t>Repeated troubleshooting</w:t>
            </w:r>
          </w:p>
        </w:tc>
        <w:tc>
          <w:tcPr>
            <w:tcW w:type="dxa" w:w="2556"/>
            <w:vAlign w:val="center"/>
          </w:tcPr>
          <w:p>
            <w:r/>
            <w:r>
              <w:rPr>
                <w:rFonts w:ascii="Aptos" w:hAnsi="Aptos"/>
                <w:b w:val="0"/>
                <w:sz w:val="17"/>
              </w:rPr>
              <w:t>Successful fixes may remain buried in incident activity.</w:t>
            </w:r>
          </w:p>
        </w:tc>
        <w:tc>
          <w:tcPr>
            <w:tcW w:type="dxa" w:w="2556"/>
            <w:vAlign w:val="center"/>
          </w:tcPr>
          <w:p>
            <w:r/>
            <w:r>
              <w:rPr>
                <w:rFonts w:ascii="Aptos" w:hAnsi="Aptos"/>
                <w:b w:val="0"/>
                <w:sz w:val="17"/>
              </w:rPr>
              <w:t>Knowledge integration and creation</w:t>
            </w:r>
          </w:p>
        </w:tc>
        <w:tc>
          <w:tcPr>
            <w:tcW w:type="dxa" w:w="2556"/>
            <w:vAlign w:val="center"/>
          </w:tcPr>
          <w:p>
            <w:r/>
            <w:r>
              <w:rPr>
                <w:rFonts w:ascii="Aptos" w:hAnsi="Aptos"/>
                <w:b w:val="0"/>
                <w:sz w:val="17"/>
              </w:rPr>
              <w:t>Existing articles can be used and resolved incidents can become knowledge.</w:t>
            </w:r>
          </w:p>
        </w:tc>
      </w:tr>
      <w:tr>
        <w:tc>
          <w:tcPr>
            <w:tcW w:type="dxa" w:w="2556"/>
            <w:vAlign w:val="center"/>
          </w:tcPr>
          <w:p>
            <w:r/>
            <w:r>
              <w:rPr>
                <w:rFonts w:ascii="Aptos" w:hAnsi="Aptos"/>
                <w:b w:val="0"/>
                <w:sz w:val="17"/>
              </w:rPr>
              <w:t>Uncontrolled infrastructure remediation</w:t>
            </w:r>
          </w:p>
        </w:tc>
        <w:tc>
          <w:tcPr>
            <w:tcW w:type="dxa" w:w="2556"/>
            <w:vAlign w:val="center"/>
          </w:tcPr>
          <w:p>
            <w:r/>
            <w:r>
              <w:rPr>
                <w:rFonts w:ascii="Aptos" w:hAnsi="Aptos"/>
                <w:b w:val="0"/>
                <w:sz w:val="17"/>
              </w:rPr>
              <w:t>A required service/configuration change needs governance.</w:t>
            </w:r>
          </w:p>
        </w:tc>
        <w:tc>
          <w:tcPr>
            <w:tcW w:type="dxa" w:w="2556"/>
            <w:vAlign w:val="center"/>
          </w:tcPr>
          <w:p>
            <w:r/>
            <w:r>
              <w:rPr>
                <w:rFonts w:ascii="Aptos" w:hAnsi="Aptos"/>
                <w:b w:val="0"/>
                <w:sz w:val="17"/>
              </w:rPr>
              <w:t>Emergency Change integration</w:t>
            </w:r>
          </w:p>
        </w:tc>
        <w:tc>
          <w:tcPr>
            <w:tcW w:type="dxa" w:w="2556"/>
            <w:vAlign w:val="center"/>
          </w:tcPr>
          <w:p>
            <w:r/>
            <w:r>
              <w:rPr>
                <w:rFonts w:ascii="Aptos" w:hAnsi="Aptos"/>
                <w:b w:val="0"/>
                <w:sz w:val="17"/>
              </w:rPr>
              <w:t>Change work is linked to the incident and recorded for traceability.</w:t>
            </w:r>
          </w:p>
        </w:tc>
      </w:tr>
      <w:tr>
        <w:tc>
          <w:tcPr>
            <w:tcW w:type="dxa" w:w="2556"/>
            <w:vAlign w:val="center"/>
          </w:tcPr>
          <w:p>
            <w:r/>
            <w:r>
              <w:rPr>
                <w:rFonts w:ascii="Aptos" w:hAnsi="Aptos"/>
                <w:b w:val="0"/>
                <w:sz w:val="17"/>
              </w:rPr>
              <w:t>Related issues are hard to track</w:t>
            </w:r>
          </w:p>
        </w:tc>
        <w:tc>
          <w:tcPr>
            <w:tcW w:type="dxa" w:w="2556"/>
            <w:vAlign w:val="center"/>
          </w:tcPr>
          <w:p>
            <w:r/>
            <w:r>
              <w:rPr>
                <w:rFonts w:ascii="Aptos" w:hAnsi="Aptos"/>
                <w:b w:val="0"/>
                <w:sz w:val="17"/>
              </w:rPr>
              <w:t>Recurring or related work can be separated from the main incident.</w:t>
            </w:r>
          </w:p>
        </w:tc>
        <w:tc>
          <w:tcPr>
            <w:tcW w:type="dxa" w:w="2556"/>
            <w:vAlign w:val="center"/>
          </w:tcPr>
          <w:p>
            <w:r/>
            <w:r>
              <w:rPr>
                <w:rFonts w:ascii="Aptos" w:hAnsi="Aptos"/>
                <w:b w:val="0"/>
                <w:sz w:val="17"/>
              </w:rPr>
              <w:t>Child incident management</w:t>
            </w:r>
          </w:p>
        </w:tc>
        <w:tc>
          <w:tcPr>
            <w:tcW w:type="dxa" w:w="2556"/>
            <w:vAlign w:val="center"/>
          </w:tcPr>
          <w:p>
            <w:r/>
            <w:r>
              <w:rPr>
                <w:rFonts w:ascii="Aptos" w:hAnsi="Aptos"/>
                <w:b w:val="0"/>
                <w:sz w:val="17"/>
              </w:rPr>
              <w:t>Child incident is created and visible under the parent.</w:t>
            </w:r>
          </w:p>
        </w:tc>
      </w:tr>
      <w:tr>
        <w:tc>
          <w:tcPr>
            <w:tcW w:type="dxa" w:w="2556"/>
            <w:vAlign w:val="center"/>
          </w:tcPr>
          <w:p>
            <w:r/>
            <w:r>
              <w:rPr>
                <w:rFonts w:ascii="Aptos" w:hAnsi="Aptos"/>
                <w:b w:val="0"/>
                <w:sz w:val="17"/>
              </w:rPr>
              <w:t>Incomplete resolution records</w:t>
            </w:r>
          </w:p>
        </w:tc>
        <w:tc>
          <w:tcPr>
            <w:tcW w:type="dxa" w:w="2556"/>
            <w:vAlign w:val="center"/>
          </w:tcPr>
          <w:p>
            <w:r/>
            <w:r>
              <w:rPr>
                <w:rFonts w:ascii="Aptos" w:hAnsi="Aptos"/>
                <w:b w:val="0"/>
                <w:sz w:val="17"/>
              </w:rPr>
              <w:t>Cause and resolution details may be inconsistent.</w:t>
            </w:r>
          </w:p>
        </w:tc>
        <w:tc>
          <w:tcPr>
            <w:tcW w:type="dxa" w:w="2556"/>
            <w:vAlign w:val="center"/>
          </w:tcPr>
          <w:p>
            <w:r/>
            <w:r>
              <w:rPr>
                <w:rFonts w:ascii="Aptos" w:hAnsi="Aptos"/>
                <w:b w:val="0"/>
                <w:sz w:val="17"/>
              </w:rPr>
              <w:t>Resolution fields and activity</w:t>
            </w:r>
          </w:p>
        </w:tc>
        <w:tc>
          <w:tcPr>
            <w:tcW w:type="dxa" w:w="2556"/>
            <w:vAlign w:val="center"/>
          </w:tcPr>
          <w:p>
            <w:r/>
            <w:r>
              <w:rPr>
                <w:rFonts w:ascii="Aptos" w:hAnsi="Aptos"/>
                <w:b w:val="0"/>
                <w:sz w:val="17"/>
              </w:rPr>
              <w:t>Probable cause, resolution code and notes are captured.</w:t>
            </w:r>
          </w:p>
        </w:tc>
      </w:tr>
      <w:tr>
        <w:tc>
          <w:tcPr>
            <w:tcW w:type="dxa" w:w="2556"/>
            <w:vAlign w:val="center"/>
          </w:tcPr>
          <w:p>
            <w:r/>
            <w:r>
              <w:rPr>
                <w:rFonts w:ascii="Aptos" w:hAnsi="Aptos"/>
                <w:b w:val="0"/>
                <w:sz w:val="17"/>
              </w:rPr>
              <w:t>Limited service visibility</w:t>
            </w:r>
          </w:p>
        </w:tc>
        <w:tc>
          <w:tcPr>
            <w:tcW w:type="dxa" w:w="2556"/>
            <w:vAlign w:val="center"/>
          </w:tcPr>
          <w:p>
            <w:r/>
            <w:r>
              <w:rPr>
                <w:rFonts w:ascii="Aptos" w:hAnsi="Aptos"/>
                <w:b w:val="0"/>
                <w:sz w:val="17"/>
              </w:rPr>
              <w:t>Teams need to know whether response/resolution targets are being met.</w:t>
            </w:r>
          </w:p>
        </w:tc>
        <w:tc>
          <w:tcPr>
            <w:tcW w:type="dxa" w:w="2556"/>
            <w:vAlign w:val="center"/>
          </w:tcPr>
          <w:p>
            <w:r/>
            <w:r>
              <w:rPr>
                <w:rFonts w:ascii="Aptos" w:hAnsi="Aptos"/>
                <w:b w:val="0"/>
                <w:sz w:val="17"/>
              </w:rPr>
              <w:t>SLA tracking</w:t>
            </w:r>
          </w:p>
        </w:tc>
        <w:tc>
          <w:tcPr>
            <w:tcW w:type="dxa" w:w="2556"/>
            <w:vAlign w:val="center"/>
          </w:tcPr>
          <w:p>
            <w:r/>
            <w:r>
              <w:rPr>
                <w:rFonts w:ascii="Aptos" w:hAnsi="Aptos"/>
                <w:b w:val="0"/>
                <w:sz w:val="17"/>
              </w:rPr>
              <w:t>Task SLA information remains visible on the incident.</w:t>
            </w:r>
          </w:p>
        </w:tc>
      </w:tr>
    </w:tbl>
    <w:p/>
    <w:p>
      <w:pPr>
        <w:pStyle w:val="Heading1"/>
      </w:pPr>
      <w:r>
        <w:t>3. User Value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Stakeholder</w:t>
            </w:r>
          </w:p>
        </w:tc>
        <w:tc>
          <w:tcPr>
            <w:tcW w:type="dxa" w:w="5112"/>
            <w:vAlign w:val="center"/>
            <w:shd w:fill="D9EAF7"/>
          </w:tcPr>
          <w:p>
            <w:r/>
            <w:r>
              <w:rPr>
                <w:rFonts w:ascii="Aptos" w:hAnsi="Aptos"/>
                <w:b/>
                <w:sz w:val="17"/>
              </w:rPr>
              <w:t>Value Delivered</w:t>
            </w:r>
          </w:p>
        </w:tc>
      </w:tr>
      <w:tr>
        <w:tc>
          <w:tcPr>
            <w:tcW w:type="dxa" w:w="5112"/>
            <w:vAlign w:val="center"/>
          </w:tcPr>
          <w:p>
            <w:r/>
            <w:r>
              <w:rPr>
                <w:rFonts w:ascii="Aptos" w:hAnsi="Aptos"/>
                <w:b w:val="0"/>
                <w:sz w:val="17"/>
              </w:rPr>
              <w:t>End User</w:t>
            </w:r>
          </w:p>
        </w:tc>
        <w:tc>
          <w:tcPr>
            <w:tcW w:type="dxa" w:w="5112"/>
            <w:vAlign w:val="center"/>
          </w:tcPr>
          <w:p>
            <w:r/>
            <w:r>
              <w:rPr>
                <w:rFonts w:ascii="Aptos" w:hAnsi="Aptos"/>
                <w:b w:val="0"/>
                <w:sz w:val="17"/>
              </w:rPr>
              <w:t>Faster and more transparent issue handling.</w:t>
            </w:r>
          </w:p>
        </w:tc>
      </w:tr>
      <w:tr>
        <w:tc>
          <w:tcPr>
            <w:tcW w:type="dxa" w:w="5112"/>
            <w:vAlign w:val="center"/>
          </w:tcPr>
          <w:p>
            <w:r/>
            <w:r>
              <w:rPr>
                <w:rFonts w:ascii="Aptos" w:hAnsi="Aptos"/>
                <w:b w:val="0"/>
                <w:sz w:val="17"/>
              </w:rPr>
              <w:t>Service Desk Agent</w:t>
            </w:r>
          </w:p>
        </w:tc>
        <w:tc>
          <w:tcPr>
            <w:tcW w:type="dxa" w:w="5112"/>
            <w:vAlign w:val="center"/>
          </w:tcPr>
          <w:p>
            <w:r/>
            <w:r>
              <w:rPr>
                <w:rFonts w:ascii="Aptos" w:hAnsi="Aptos"/>
                <w:b w:val="0"/>
                <w:sz w:val="17"/>
              </w:rPr>
              <w:t>Structured intake, knowledge assistance and clear escalation.</w:t>
            </w:r>
          </w:p>
        </w:tc>
      </w:tr>
      <w:tr>
        <w:tc>
          <w:tcPr>
            <w:tcW w:type="dxa" w:w="5112"/>
            <w:vAlign w:val="center"/>
          </w:tcPr>
          <w:p>
            <w:r/>
            <w:r>
              <w:rPr>
                <w:rFonts w:ascii="Aptos" w:hAnsi="Aptos"/>
                <w:b w:val="0"/>
                <w:sz w:val="17"/>
              </w:rPr>
              <w:t>Level 2 Support</w:t>
            </w:r>
          </w:p>
        </w:tc>
        <w:tc>
          <w:tcPr>
            <w:tcW w:type="dxa" w:w="5112"/>
            <w:vAlign w:val="center"/>
          </w:tcPr>
          <w:p>
            <w:r/>
            <w:r>
              <w:rPr>
                <w:rFonts w:ascii="Aptos" w:hAnsi="Aptos"/>
                <w:b w:val="0"/>
                <w:sz w:val="17"/>
              </w:rPr>
              <w:t>Complete incident context and clear ownership.</w:t>
            </w:r>
          </w:p>
        </w:tc>
      </w:tr>
      <w:tr>
        <w:tc>
          <w:tcPr>
            <w:tcW w:type="dxa" w:w="5112"/>
            <w:vAlign w:val="center"/>
          </w:tcPr>
          <w:p>
            <w:r/>
            <w:r>
              <w:rPr>
                <w:rFonts w:ascii="Aptos" w:hAnsi="Aptos"/>
                <w:b w:val="0"/>
                <w:sz w:val="17"/>
              </w:rPr>
              <w:t>Change Team</w:t>
            </w:r>
          </w:p>
        </w:tc>
        <w:tc>
          <w:tcPr>
            <w:tcW w:type="dxa" w:w="5112"/>
            <w:vAlign w:val="center"/>
          </w:tcPr>
          <w:p>
            <w:r/>
            <w:r>
              <w:rPr>
                <w:rFonts w:ascii="Aptos" w:hAnsi="Aptos"/>
                <w:b w:val="0"/>
                <w:sz w:val="17"/>
              </w:rPr>
              <w:t>Traceable emergency change activity connected to the incident.</w:t>
            </w:r>
          </w:p>
        </w:tc>
      </w:tr>
      <w:tr>
        <w:tc>
          <w:tcPr>
            <w:tcW w:type="dxa" w:w="5112"/>
            <w:vAlign w:val="center"/>
          </w:tcPr>
          <w:p>
            <w:r/>
            <w:r>
              <w:rPr>
                <w:rFonts w:ascii="Aptos" w:hAnsi="Aptos"/>
                <w:b w:val="0"/>
                <w:sz w:val="17"/>
              </w:rPr>
              <w:t>Knowledge Team</w:t>
            </w:r>
          </w:p>
        </w:tc>
        <w:tc>
          <w:tcPr>
            <w:tcW w:type="dxa" w:w="5112"/>
            <w:vAlign w:val="center"/>
          </w:tcPr>
          <w:p>
            <w:r/>
            <w:r>
              <w:rPr>
                <w:rFonts w:ascii="Aptos" w:hAnsi="Aptos"/>
                <w:b w:val="0"/>
                <w:sz w:val="17"/>
              </w:rPr>
              <w:t>Reusable articles created from validated resolutions.</w:t>
            </w:r>
          </w:p>
        </w:tc>
      </w:tr>
      <w:tr>
        <w:tc>
          <w:tcPr>
            <w:tcW w:type="dxa" w:w="5112"/>
            <w:vAlign w:val="center"/>
          </w:tcPr>
          <w:p>
            <w:r/>
            <w:r>
              <w:rPr>
                <w:rFonts w:ascii="Aptos" w:hAnsi="Aptos"/>
                <w:b w:val="0"/>
                <w:sz w:val="17"/>
              </w:rPr>
              <w:t>Service Manager</w:t>
            </w:r>
          </w:p>
        </w:tc>
        <w:tc>
          <w:tcPr>
            <w:tcW w:type="dxa" w:w="5112"/>
            <w:vAlign w:val="center"/>
          </w:tcPr>
          <w:p>
            <w:r/>
            <w:r>
              <w:rPr>
                <w:rFonts w:ascii="Aptos" w:hAnsi="Aptos"/>
                <w:b w:val="0"/>
                <w:sz w:val="17"/>
              </w:rPr>
              <w:t>Visibility into SLA and end-to-end lifecycle outcomes.</w:t>
            </w:r>
          </w:p>
        </w:tc>
      </w:tr>
    </w:tbl>
    <w:p/>
    <w:p>
      <w:pPr>
        <w:pStyle w:val="Heading1"/>
      </w:pPr>
      <w:r>
        <w:t>4. Success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7"/>
              </w:rPr>
              <w:t>Metric</w:t>
            </w:r>
          </w:p>
        </w:tc>
        <w:tc>
          <w:tcPr>
            <w:tcW w:type="dxa" w:w="5112"/>
            <w:vAlign w:val="center"/>
            <w:shd w:fill="D9EAF7"/>
          </w:tcPr>
          <w:p>
            <w:r/>
            <w:r>
              <w:rPr>
                <w:rFonts w:ascii="Aptos" w:hAnsi="Aptos"/>
                <w:b/>
                <w:sz w:val="17"/>
              </w:rPr>
              <w:t>Target / Evidence</w:t>
            </w:r>
          </w:p>
        </w:tc>
      </w:tr>
      <w:tr>
        <w:tc>
          <w:tcPr>
            <w:tcW w:type="dxa" w:w="5112"/>
            <w:vAlign w:val="center"/>
          </w:tcPr>
          <w:p>
            <w:r/>
            <w:r>
              <w:rPr>
                <w:rFonts w:ascii="Aptos" w:hAnsi="Aptos"/>
                <w:b w:val="0"/>
                <w:sz w:val="17"/>
              </w:rPr>
              <w:t>Incident completeness</w:t>
            </w:r>
          </w:p>
        </w:tc>
        <w:tc>
          <w:tcPr>
            <w:tcW w:type="dxa" w:w="5112"/>
            <w:vAlign w:val="center"/>
          </w:tcPr>
          <w:p>
            <w:r/>
            <w:r>
              <w:rPr>
                <w:rFonts w:ascii="Aptos" w:hAnsi="Aptos"/>
                <w:b w:val="0"/>
                <w:sz w:val="17"/>
              </w:rPr>
              <w:t>Required classification and resolution information present.</w:t>
            </w:r>
          </w:p>
        </w:tc>
      </w:tr>
      <w:tr>
        <w:tc>
          <w:tcPr>
            <w:tcW w:type="dxa" w:w="5112"/>
            <w:vAlign w:val="center"/>
          </w:tcPr>
          <w:p>
            <w:r/>
            <w:r>
              <w:rPr>
                <w:rFonts w:ascii="Aptos" w:hAnsi="Aptos"/>
                <w:b w:val="0"/>
                <w:sz w:val="17"/>
              </w:rPr>
              <w:t>Escalation effectiveness</w:t>
            </w:r>
          </w:p>
        </w:tc>
        <w:tc>
          <w:tcPr>
            <w:tcW w:type="dxa" w:w="5112"/>
            <w:vAlign w:val="center"/>
          </w:tcPr>
          <w:p>
            <w:r/>
            <w:r>
              <w:rPr>
                <w:rFonts w:ascii="Aptos" w:hAnsi="Aptos"/>
                <w:b w:val="0"/>
                <w:sz w:val="17"/>
              </w:rPr>
              <w:t>Incident reaches correct Level 2 support.</w:t>
            </w:r>
          </w:p>
        </w:tc>
      </w:tr>
      <w:tr>
        <w:tc>
          <w:tcPr>
            <w:tcW w:type="dxa" w:w="5112"/>
            <w:vAlign w:val="center"/>
          </w:tcPr>
          <w:p>
            <w:r/>
            <w:r>
              <w:rPr>
                <w:rFonts w:ascii="Aptos" w:hAnsi="Aptos"/>
                <w:b w:val="0"/>
                <w:sz w:val="17"/>
              </w:rPr>
              <w:t>Change traceability</w:t>
            </w:r>
          </w:p>
        </w:tc>
        <w:tc>
          <w:tcPr>
            <w:tcW w:type="dxa" w:w="5112"/>
            <w:vAlign w:val="center"/>
          </w:tcPr>
          <w:p>
            <w:r/>
            <w:r>
              <w:rPr>
                <w:rFonts w:ascii="Aptos" w:hAnsi="Aptos"/>
                <w:b w:val="0"/>
                <w:sz w:val="17"/>
              </w:rPr>
              <w:t>Emergency change is linked/traceable from incident workflow.</w:t>
            </w:r>
          </w:p>
        </w:tc>
      </w:tr>
      <w:tr>
        <w:tc>
          <w:tcPr>
            <w:tcW w:type="dxa" w:w="5112"/>
            <w:vAlign w:val="center"/>
          </w:tcPr>
          <w:p>
            <w:r/>
            <w:r>
              <w:rPr>
                <w:rFonts w:ascii="Aptos" w:hAnsi="Aptos"/>
                <w:b w:val="0"/>
                <w:sz w:val="17"/>
              </w:rPr>
              <w:t>Knowledge reuse</w:t>
            </w:r>
          </w:p>
        </w:tc>
        <w:tc>
          <w:tcPr>
            <w:tcW w:type="dxa" w:w="5112"/>
            <w:vAlign w:val="center"/>
          </w:tcPr>
          <w:p>
            <w:r/>
            <w:r>
              <w:rPr>
                <w:rFonts w:ascii="Aptos" w:hAnsi="Aptos"/>
                <w:b w:val="0"/>
                <w:sz w:val="17"/>
              </w:rPr>
              <w:t>Knowledge article exists after resolution.</w:t>
            </w:r>
          </w:p>
        </w:tc>
      </w:tr>
      <w:tr>
        <w:tc>
          <w:tcPr>
            <w:tcW w:type="dxa" w:w="5112"/>
            <w:vAlign w:val="center"/>
          </w:tcPr>
          <w:p>
            <w:r/>
            <w:r>
              <w:rPr>
                <w:rFonts w:ascii="Aptos" w:hAnsi="Aptos"/>
                <w:b w:val="0"/>
                <w:sz w:val="17"/>
              </w:rPr>
              <w:t>Child relationship</w:t>
            </w:r>
          </w:p>
        </w:tc>
        <w:tc>
          <w:tcPr>
            <w:tcW w:type="dxa" w:w="5112"/>
            <w:vAlign w:val="center"/>
          </w:tcPr>
          <w:p>
            <w:r/>
            <w:r>
              <w:rPr>
                <w:rFonts w:ascii="Aptos" w:hAnsi="Aptos"/>
                <w:b w:val="0"/>
                <w:sz w:val="17"/>
              </w:rPr>
              <w:t>Child incident appears under parent.</w:t>
            </w:r>
          </w:p>
        </w:tc>
      </w:tr>
      <w:tr>
        <w:tc>
          <w:tcPr>
            <w:tcW w:type="dxa" w:w="5112"/>
            <w:vAlign w:val="center"/>
          </w:tcPr>
          <w:p>
            <w:r/>
            <w:r>
              <w:rPr>
                <w:rFonts w:ascii="Aptos" w:hAnsi="Aptos"/>
                <w:b w:val="0"/>
                <w:sz w:val="17"/>
              </w:rPr>
              <w:t>SLA visibility</w:t>
            </w:r>
          </w:p>
        </w:tc>
        <w:tc>
          <w:tcPr>
            <w:tcW w:type="dxa" w:w="5112"/>
            <w:vAlign w:val="center"/>
          </w:tcPr>
          <w:p>
            <w:r/>
            <w:r>
              <w:rPr>
                <w:rFonts w:ascii="Aptos" w:hAnsi="Aptos"/>
                <w:b w:val="0"/>
                <w:sz w:val="17"/>
              </w:rPr>
              <w:t>Task SLAs are visible and trackable.</w:t>
            </w:r>
          </w:p>
        </w:tc>
      </w:tr>
      <w:tr>
        <w:tc>
          <w:tcPr>
            <w:tcW w:type="dxa" w:w="5112"/>
            <w:vAlign w:val="center"/>
          </w:tcPr>
          <w:p>
            <w:r/>
            <w:r>
              <w:rPr>
                <w:rFonts w:ascii="Aptos" w:hAnsi="Aptos"/>
                <w:b w:val="0"/>
                <w:sz w:val="17"/>
              </w:rPr>
              <w:t>Lifecycle completion</w:t>
            </w:r>
          </w:p>
        </w:tc>
        <w:tc>
          <w:tcPr>
            <w:tcW w:type="dxa" w:w="5112"/>
            <w:vAlign w:val="center"/>
          </w:tcPr>
          <w:p>
            <w:r/>
            <w:r>
              <w:rPr>
                <w:rFonts w:ascii="Aptos" w:hAnsi="Aptos"/>
                <w:b w:val="0"/>
                <w:sz w:val="17"/>
              </w:rPr>
              <w:t>Parent and child reach Resolved state with activity evidence.</w:t>
            </w:r>
          </w:p>
        </w:tc>
      </w:tr>
    </w:tbl>
    <w:p/>
    <w:p>
      <w:pPr>
        <w:pStyle w:val="Heading1"/>
      </w:pPr>
      <w:r>
        <w:t>5. Conclusion</w:t>
      </w:r>
    </w:p>
    <w:p>
      <w:r>
        <w:t>The proposed solution directly addresses the operational problems identified for the incident scenario. It combines native ServiceNow capabilities into one traceable lifecycle rather than treating incident, change, knowledge and SLA work as unrelated activities.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