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Solution Architecture</w:t>
      </w:r>
    </w:p>
    <w:p>
      <w:pPr>
        <w:jc w:val="center"/>
      </w:pPr>
      <w:r>
        <w:rPr>
          <w:b/>
          <w:sz w:val="28"/>
        </w:rPr>
        <w:t>Incident Lifecycle Automation in ServiceNow</w:t>
      </w:r>
    </w:p>
    <w:p>
      <w:pPr>
        <w:jc w:val="center"/>
      </w:pPr>
      <w:r>
        <w:rPr>
          <w:sz w:val="20"/>
        </w:rPr>
        <w:t>Date: 12 September 2026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Date</w:t>
            </w:r>
          </w:p>
        </w:tc>
        <w:tc>
          <w:tcPr>
            <w:tcW w:type="dxa" w:w="5112"/>
            <w:vAlign w:val="center"/>
          </w:tcPr>
          <w:p>
            <w:r/>
            <w:r>
              <w:rPr>
                <w:rFonts w:ascii="Aptos" w:hAnsi="Aptos"/>
                <w:b w:val="0"/>
                <w:sz w:val="19"/>
              </w:rPr>
              <w:t>12 September 2026</w:t>
            </w:r>
          </w:p>
        </w:tc>
      </w:tr>
      <w:tr>
        <w:tc>
          <w:tcPr>
            <w:tcW w:type="dxa" w:w="5112"/>
            <w:vAlign w:val="center"/>
            <w:shd w:fill="D9EAF7"/>
          </w:tcPr>
          <w:p>
            <w:r/>
            <w:r>
              <w:rPr>
                <w:rFonts w:ascii="Aptos" w:hAnsi="Aptos"/>
                <w:b/>
                <w:sz w:val="19"/>
              </w:rPr>
              <w:t>Team ID</w:t>
            </w:r>
          </w:p>
        </w:tc>
        <w:tc>
          <w:tcPr>
            <w:tcW w:type="dxa" w:w="5112"/>
            <w:vAlign w:val="center"/>
          </w:tcPr>
          <w:p>
            <w:r/>
            <w:r>
              <w:rPr>
                <w:rFonts w:ascii="Aptos" w:hAnsi="Aptos"/>
                <w:b w:val="0"/>
                <w:sz w:val="19"/>
              </w:rPr>
              <w:t>—</w:t>
            </w:r>
          </w:p>
        </w:tc>
      </w:tr>
      <w:tr>
        <w:tc>
          <w:tcPr>
            <w:tcW w:type="dxa" w:w="5112"/>
            <w:vAlign w:val="center"/>
            <w:shd w:fill="D9EAF7"/>
          </w:tcPr>
          <w:p>
            <w:r/>
            <w:r>
              <w:rPr>
                <w:rFonts w:ascii="Aptos" w:hAnsi="Aptos"/>
                <w:b/>
                <w:sz w:val="19"/>
              </w:rPr>
              <w:t>Project Name</w:t>
            </w:r>
          </w:p>
        </w:tc>
        <w:tc>
          <w:tcPr>
            <w:tcW w:type="dxa" w:w="5112"/>
            <w:vAlign w:val="center"/>
          </w:tcPr>
          <w:p>
            <w:r/>
            <w:r>
              <w:rPr>
                <w:rFonts w:ascii="Aptos" w:hAnsi="Aptos"/>
                <w:b w:val="0"/>
                <w:sz w:val="19"/>
              </w:rPr>
              <w:t>Incident Lifecycle Automation in ServiceNow</w:t>
            </w:r>
          </w:p>
        </w:tc>
      </w:tr>
      <w:tr>
        <w:tc>
          <w:tcPr>
            <w:tcW w:type="dxa" w:w="5112"/>
            <w:vAlign w:val="center"/>
            <w:shd w:fill="D9EAF7"/>
          </w:tcPr>
          <w:p>
            <w:r/>
            <w:r>
              <w:rPr>
                <w:rFonts w:ascii="Aptos" w:hAnsi="Aptos"/>
                <w:b/>
                <w:sz w:val="19"/>
              </w:rPr>
              <w:t>Maximum Marks</w:t>
            </w:r>
          </w:p>
        </w:tc>
        <w:tc>
          <w:tcPr>
            <w:tcW w:type="dxa" w:w="5112"/>
            <w:vAlign w:val="center"/>
          </w:tcPr>
          <w:p>
            <w:r/>
            <w:r>
              <w:rPr>
                <w:rFonts w:ascii="Aptos" w:hAnsi="Aptos"/>
                <w:b w:val="0"/>
                <w:sz w:val="19"/>
              </w:rPr>
              <w:t>4 Marks</w:t>
            </w:r>
          </w:p>
        </w:tc>
      </w:tr>
    </w:tbl>
    <w:p/>
    <w:p>
      <w:pPr>
        <w:pStyle w:val="Heading1"/>
      </w:pPr>
      <w:r>
        <w:t>1. Architecture Overview</w:t>
      </w:r>
    </w:p>
    <w:p>
      <w:r>
        <w:t>The architecture uses ServiceNow as the central service-management platform. Service Desk and support agents work in Service Operations Workspace. The Incident record acts as the primary operational record, with connected Knowledge, Change, Child Incident and Task SLA records providing supporting capabilities.</w:t>
      </w:r>
    </w:p>
    <w:p>
      <w:pPr>
        <w:pStyle w:val="Heading1"/>
      </w:pPr>
      <w:r>
        <w:t>2. Logical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Layer</w:t>
            </w:r>
          </w:p>
        </w:tc>
        <w:tc>
          <w:tcPr>
            <w:tcW w:type="dxa" w:w="3408"/>
            <w:vAlign w:val="center"/>
            <w:shd w:fill="D9EAF7"/>
          </w:tcPr>
          <w:p>
            <w:r/>
            <w:r>
              <w:rPr>
                <w:rFonts w:ascii="Aptos" w:hAnsi="Aptos"/>
                <w:b/>
                <w:sz w:val="17"/>
              </w:rPr>
              <w:t>Component</w:t>
            </w:r>
          </w:p>
        </w:tc>
        <w:tc>
          <w:tcPr>
            <w:tcW w:type="dxa" w:w="3408"/>
            <w:vAlign w:val="center"/>
            <w:shd w:fill="D9EAF7"/>
          </w:tcPr>
          <w:p>
            <w:r/>
            <w:r>
              <w:rPr>
                <w:rFonts w:ascii="Aptos" w:hAnsi="Aptos"/>
                <w:b/>
                <w:sz w:val="17"/>
              </w:rPr>
              <w:t>Responsibility</w:t>
            </w:r>
          </w:p>
        </w:tc>
      </w:tr>
      <w:tr>
        <w:tc>
          <w:tcPr>
            <w:tcW w:type="dxa" w:w="3408"/>
            <w:vAlign w:val="center"/>
          </w:tcPr>
          <w:p>
            <w:r/>
            <w:r>
              <w:rPr>
                <w:rFonts w:ascii="Aptos" w:hAnsi="Aptos"/>
                <w:b w:val="0"/>
                <w:sz w:val="17"/>
              </w:rPr>
              <w:t>Users / Service Desk</w:t>
            </w:r>
          </w:p>
        </w:tc>
        <w:tc>
          <w:tcPr>
            <w:tcW w:type="dxa" w:w="3408"/>
            <w:vAlign w:val="center"/>
          </w:tcPr>
          <w:p>
            <w:r/>
            <w:r>
              <w:rPr>
                <w:rFonts w:ascii="Aptos" w:hAnsi="Aptos"/>
                <w:b w:val="0"/>
                <w:sz w:val="17"/>
              </w:rPr>
              <w:t>Service Desk Agent</w:t>
            </w:r>
          </w:p>
        </w:tc>
        <w:tc>
          <w:tcPr>
            <w:tcW w:type="dxa" w:w="3408"/>
            <w:vAlign w:val="center"/>
          </w:tcPr>
          <w:p>
            <w:r/>
            <w:r>
              <w:rPr>
                <w:rFonts w:ascii="Aptos" w:hAnsi="Aptos"/>
                <w:b w:val="0"/>
                <w:sz w:val="17"/>
              </w:rPr>
              <w:t>Creates and manages incident</w:t>
            </w:r>
          </w:p>
        </w:tc>
      </w:tr>
      <w:tr>
        <w:tc>
          <w:tcPr>
            <w:tcW w:type="dxa" w:w="3408"/>
            <w:vAlign w:val="center"/>
          </w:tcPr>
          <w:p>
            <w:r/>
            <w:r>
              <w:rPr>
                <w:rFonts w:ascii="Aptos" w:hAnsi="Aptos"/>
                <w:b w:val="0"/>
                <w:sz w:val="17"/>
              </w:rPr>
              <w:t>Presentation Layer</w:t>
            </w:r>
          </w:p>
        </w:tc>
        <w:tc>
          <w:tcPr>
            <w:tcW w:type="dxa" w:w="3408"/>
            <w:vAlign w:val="center"/>
          </w:tcPr>
          <w:p>
            <w:r/>
            <w:r>
              <w:rPr>
                <w:rFonts w:ascii="Aptos" w:hAnsi="Aptos"/>
                <w:b w:val="0"/>
                <w:sz w:val="17"/>
              </w:rPr>
              <w:t>Service Operations Workspace</w:t>
            </w:r>
          </w:p>
        </w:tc>
        <w:tc>
          <w:tcPr>
            <w:tcW w:type="dxa" w:w="3408"/>
            <w:vAlign w:val="center"/>
          </w:tcPr>
          <w:p>
            <w:r/>
            <w:r>
              <w:rPr>
                <w:rFonts w:ascii="Aptos" w:hAnsi="Aptos"/>
                <w:b w:val="0"/>
                <w:sz w:val="17"/>
              </w:rPr>
              <w:t>Incident forms, workspace lists, related records and activity</w:t>
            </w:r>
          </w:p>
        </w:tc>
      </w:tr>
      <w:tr>
        <w:tc>
          <w:tcPr>
            <w:tcW w:type="dxa" w:w="3408"/>
            <w:vAlign w:val="center"/>
          </w:tcPr>
          <w:p>
            <w:r/>
            <w:r>
              <w:rPr>
                <w:rFonts w:ascii="Aptos" w:hAnsi="Aptos"/>
                <w:b w:val="0"/>
                <w:sz w:val="17"/>
              </w:rPr>
              <w:t>Core Process</w:t>
            </w:r>
          </w:p>
        </w:tc>
        <w:tc>
          <w:tcPr>
            <w:tcW w:type="dxa" w:w="3408"/>
            <w:vAlign w:val="center"/>
          </w:tcPr>
          <w:p>
            <w:r/>
            <w:r>
              <w:rPr>
                <w:rFonts w:ascii="Aptos" w:hAnsi="Aptos"/>
                <w:b w:val="0"/>
                <w:sz w:val="17"/>
              </w:rPr>
              <w:t>Incident Management</w:t>
            </w:r>
          </w:p>
        </w:tc>
        <w:tc>
          <w:tcPr>
            <w:tcW w:type="dxa" w:w="3408"/>
            <w:vAlign w:val="center"/>
          </w:tcPr>
          <w:p>
            <w:r/>
            <w:r>
              <w:rPr>
                <w:rFonts w:ascii="Aptos" w:hAnsi="Aptos"/>
                <w:b w:val="0"/>
                <w:sz w:val="17"/>
              </w:rPr>
              <w:t>Classification, assignment, escalation, state and resolution</w:t>
            </w:r>
          </w:p>
        </w:tc>
      </w:tr>
      <w:tr>
        <w:tc>
          <w:tcPr>
            <w:tcW w:type="dxa" w:w="3408"/>
            <w:vAlign w:val="center"/>
          </w:tcPr>
          <w:p>
            <w:r/>
            <w:r>
              <w:rPr>
                <w:rFonts w:ascii="Aptos" w:hAnsi="Aptos"/>
                <w:b w:val="0"/>
                <w:sz w:val="17"/>
              </w:rPr>
              <w:t>Knowledge Service</w:t>
            </w:r>
          </w:p>
        </w:tc>
        <w:tc>
          <w:tcPr>
            <w:tcW w:type="dxa" w:w="3408"/>
            <w:vAlign w:val="center"/>
          </w:tcPr>
          <w:p>
            <w:r/>
            <w:r>
              <w:rPr>
                <w:rFonts w:ascii="Aptos" w:hAnsi="Aptos"/>
                <w:b w:val="0"/>
                <w:sz w:val="17"/>
              </w:rPr>
              <w:t>Knowledge Management</w:t>
            </w:r>
          </w:p>
        </w:tc>
        <w:tc>
          <w:tcPr>
            <w:tcW w:type="dxa" w:w="3408"/>
            <w:vAlign w:val="center"/>
          </w:tcPr>
          <w:p>
            <w:r/>
            <w:r>
              <w:rPr>
                <w:rFonts w:ascii="Aptos" w:hAnsi="Aptos"/>
                <w:b w:val="0"/>
                <w:sz w:val="17"/>
              </w:rPr>
              <w:t>Search existing articles and create new knowledge</w:t>
            </w:r>
          </w:p>
        </w:tc>
      </w:tr>
      <w:tr>
        <w:tc>
          <w:tcPr>
            <w:tcW w:type="dxa" w:w="3408"/>
            <w:vAlign w:val="center"/>
          </w:tcPr>
          <w:p>
            <w:r/>
            <w:r>
              <w:rPr>
                <w:rFonts w:ascii="Aptos" w:hAnsi="Aptos"/>
                <w:b w:val="0"/>
                <w:sz w:val="17"/>
              </w:rPr>
              <w:t>Change Service</w:t>
            </w:r>
          </w:p>
        </w:tc>
        <w:tc>
          <w:tcPr>
            <w:tcW w:type="dxa" w:w="3408"/>
            <w:vAlign w:val="center"/>
          </w:tcPr>
          <w:p>
            <w:r/>
            <w:r>
              <w:rPr>
                <w:rFonts w:ascii="Aptos" w:hAnsi="Aptos"/>
                <w:b w:val="0"/>
                <w:sz w:val="17"/>
              </w:rPr>
              <w:t>Change Management</w:t>
            </w:r>
          </w:p>
        </w:tc>
        <w:tc>
          <w:tcPr>
            <w:tcW w:type="dxa" w:w="3408"/>
            <w:vAlign w:val="center"/>
          </w:tcPr>
          <w:p>
            <w:r/>
            <w:r>
              <w:rPr>
                <w:rFonts w:ascii="Aptos" w:hAnsi="Aptos"/>
                <w:b w:val="0"/>
                <w:sz w:val="17"/>
              </w:rPr>
              <w:t>Emergency change creation/linkage and controlled remediation</w:t>
            </w:r>
          </w:p>
        </w:tc>
      </w:tr>
      <w:tr>
        <w:tc>
          <w:tcPr>
            <w:tcW w:type="dxa" w:w="3408"/>
            <w:vAlign w:val="center"/>
          </w:tcPr>
          <w:p>
            <w:r/>
            <w:r>
              <w:rPr>
                <w:rFonts w:ascii="Aptos" w:hAnsi="Aptos"/>
                <w:b w:val="0"/>
                <w:sz w:val="17"/>
              </w:rPr>
              <w:t>Related Incident Service</w:t>
            </w:r>
          </w:p>
        </w:tc>
        <w:tc>
          <w:tcPr>
            <w:tcW w:type="dxa" w:w="3408"/>
            <w:vAlign w:val="center"/>
          </w:tcPr>
          <w:p>
            <w:r/>
            <w:r>
              <w:rPr>
                <w:rFonts w:ascii="Aptos" w:hAnsi="Aptos"/>
                <w:b w:val="0"/>
                <w:sz w:val="17"/>
              </w:rPr>
              <w:t>Incident Management</w:t>
            </w:r>
          </w:p>
        </w:tc>
        <w:tc>
          <w:tcPr>
            <w:tcW w:type="dxa" w:w="3408"/>
            <w:vAlign w:val="center"/>
          </w:tcPr>
          <w:p>
            <w:r/>
            <w:r>
              <w:rPr>
                <w:rFonts w:ascii="Aptos" w:hAnsi="Aptos"/>
                <w:b w:val="0"/>
                <w:sz w:val="17"/>
              </w:rPr>
              <w:t>Parent-child incident relationship</w:t>
            </w:r>
          </w:p>
        </w:tc>
      </w:tr>
      <w:tr>
        <w:tc>
          <w:tcPr>
            <w:tcW w:type="dxa" w:w="3408"/>
            <w:vAlign w:val="center"/>
          </w:tcPr>
          <w:p>
            <w:r/>
            <w:r>
              <w:rPr>
                <w:rFonts w:ascii="Aptos" w:hAnsi="Aptos"/>
                <w:b w:val="0"/>
                <w:sz w:val="17"/>
              </w:rPr>
              <w:t>SLA Service</w:t>
            </w:r>
          </w:p>
        </w:tc>
        <w:tc>
          <w:tcPr>
            <w:tcW w:type="dxa" w:w="3408"/>
            <w:vAlign w:val="center"/>
          </w:tcPr>
          <w:p>
            <w:r/>
            <w:r>
              <w:rPr>
                <w:rFonts w:ascii="Aptos" w:hAnsi="Aptos"/>
                <w:b w:val="0"/>
                <w:sz w:val="17"/>
              </w:rPr>
              <w:t>Task SLA / SLA Management</w:t>
            </w:r>
          </w:p>
        </w:tc>
        <w:tc>
          <w:tcPr>
            <w:tcW w:type="dxa" w:w="3408"/>
            <w:vAlign w:val="center"/>
          </w:tcPr>
          <w:p>
            <w:r/>
            <w:r>
              <w:rPr>
                <w:rFonts w:ascii="Aptos" w:hAnsi="Aptos"/>
                <w:b w:val="0"/>
                <w:sz w:val="17"/>
              </w:rPr>
              <w:t>Response and resolution tracking</w:t>
            </w:r>
          </w:p>
        </w:tc>
      </w:tr>
      <w:tr>
        <w:tc>
          <w:tcPr>
            <w:tcW w:type="dxa" w:w="3408"/>
            <w:vAlign w:val="center"/>
          </w:tcPr>
          <w:p>
            <w:r/>
            <w:r>
              <w:rPr>
                <w:rFonts w:ascii="Aptos" w:hAnsi="Aptos"/>
                <w:b w:val="0"/>
                <w:sz w:val="17"/>
              </w:rPr>
              <w:t>Audit / Collaboration</w:t>
            </w:r>
          </w:p>
        </w:tc>
        <w:tc>
          <w:tcPr>
            <w:tcW w:type="dxa" w:w="3408"/>
            <w:vAlign w:val="center"/>
          </w:tcPr>
          <w:p>
            <w:r/>
            <w:r>
              <w:rPr>
                <w:rFonts w:ascii="Aptos" w:hAnsi="Aptos"/>
                <w:b w:val="0"/>
                <w:sz w:val="17"/>
              </w:rPr>
              <w:t>Activity, Work Notes, Watch List</w:t>
            </w:r>
          </w:p>
        </w:tc>
        <w:tc>
          <w:tcPr>
            <w:tcW w:type="dxa" w:w="3408"/>
            <w:vAlign w:val="center"/>
          </w:tcPr>
          <w:p>
            <w:r/>
            <w:r>
              <w:rPr>
                <w:rFonts w:ascii="Aptos" w:hAnsi="Aptos"/>
                <w:b w:val="0"/>
                <w:sz w:val="17"/>
              </w:rPr>
              <w:t>Traceability and communication</w:t>
            </w:r>
          </w:p>
        </w:tc>
      </w:tr>
      <w:tr>
        <w:tc>
          <w:tcPr>
            <w:tcW w:type="dxa" w:w="3408"/>
            <w:vAlign w:val="center"/>
          </w:tcPr>
          <w:p>
            <w:r/>
            <w:r>
              <w:rPr>
                <w:rFonts w:ascii="Aptos" w:hAnsi="Aptos"/>
                <w:b w:val="0"/>
                <w:sz w:val="17"/>
              </w:rPr>
              <w:t>Platform / Data</w:t>
            </w:r>
          </w:p>
        </w:tc>
        <w:tc>
          <w:tcPr>
            <w:tcW w:type="dxa" w:w="3408"/>
            <w:vAlign w:val="center"/>
          </w:tcPr>
          <w:p>
            <w:r/>
            <w:r>
              <w:rPr>
                <w:rFonts w:ascii="Aptos" w:hAnsi="Aptos"/>
                <w:b w:val="0"/>
                <w:sz w:val="17"/>
              </w:rPr>
              <w:t>ServiceNow Platform</w:t>
            </w:r>
          </w:p>
        </w:tc>
        <w:tc>
          <w:tcPr>
            <w:tcW w:type="dxa" w:w="3408"/>
            <w:vAlign w:val="center"/>
          </w:tcPr>
          <w:p>
            <w:r/>
            <w:r>
              <w:rPr>
                <w:rFonts w:ascii="Aptos" w:hAnsi="Aptos"/>
                <w:b w:val="0"/>
                <w:sz w:val="17"/>
              </w:rPr>
              <w:t>Stores and relates operational records</w:t>
            </w:r>
          </w:p>
        </w:tc>
      </w:tr>
    </w:tbl>
    <w:p/>
    <w:p>
      <w:pPr>
        <w:pStyle w:val="Heading1"/>
      </w:pPr>
      <w:r>
        <w:t>3. Component Interaction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Source</w:t>
            </w:r>
          </w:p>
        </w:tc>
        <w:tc>
          <w:tcPr>
            <w:tcW w:type="dxa" w:w="3408"/>
            <w:vAlign w:val="center"/>
            <w:shd w:fill="D9EAF7"/>
          </w:tcPr>
          <w:p>
            <w:r/>
            <w:r>
              <w:rPr>
                <w:rFonts w:ascii="Aptos" w:hAnsi="Aptos"/>
                <w:b/>
                <w:sz w:val="17"/>
              </w:rPr>
              <w:t>Connected Component</w:t>
            </w:r>
          </w:p>
        </w:tc>
        <w:tc>
          <w:tcPr>
            <w:tcW w:type="dxa" w:w="3408"/>
            <w:vAlign w:val="center"/>
            <w:shd w:fill="D9EAF7"/>
          </w:tcPr>
          <w:p>
            <w:r/>
            <w:r>
              <w:rPr>
                <w:rFonts w:ascii="Aptos" w:hAnsi="Aptos"/>
                <w:b/>
                <w:sz w:val="17"/>
              </w:rPr>
              <w:t>Interaction</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Knowledge</w:t>
            </w:r>
          </w:p>
        </w:tc>
        <w:tc>
          <w:tcPr>
            <w:tcW w:type="dxa" w:w="3408"/>
            <w:vAlign w:val="center"/>
          </w:tcPr>
          <w:p>
            <w:r/>
            <w:r>
              <w:rPr>
                <w:rFonts w:ascii="Aptos" w:hAnsi="Aptos"/>
                <w:b w:val="0"/>
                <w:sz w:val="17"/>
              </w:rPr>
              <w:t>Search and use relevant article during troubleshooting.</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Change</w:t>
            </w:r>
          </w:p>
        </w:tc>
        <w:tc>
          <w:tcPr>
            <w:tcW w:type="dxa" w:w="3408"/>
            <w:vAlign w:val="center"/>
          </w:tcPr>
          <w:p>
            <w:r/>
            <w:r>
              <w:rPr>
                <w:rFonts w:ascii="Aptos" w:hAnsi="Aptos"/>
                <w:b w:val="0"/>
                <w:sz w:val="17"/>
              </w:rPr>
              <w:t>Create/link emergency change for required remediation.</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Child Incident</w:t>
            </w:r>
          </w:p>
        </w:tc>
        <w:tc>
          <w:tcPr>
            <w:tcW w:type="dxa" w:w="3408"/>
            <w:vAlign w:val="center"/>
          </w:tcPr>
          <w:p>
            <w:r/>
            <w:r>
              <w:rPr>
                <w:rFonts w:ascii="Aptos" w:hAnsi="Aptos"/>
                <w:b w:val="0"/>
                <w:sz w:val="17"/>
              </w:rPr>
              <w:t>Create child record for related/recurring issue.</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Task SLA</w:t>
            </w:r>
          </w:p>
        </w:tc>
        <w:tc>
          <w:tcPr>
            <w:tcW w:type="dxa" w:w="3408"/>
            <w:vAlign w:val="center"/>
          </w:tcPr>
          <w:p>
            <w:r/>
            <w:r>
              <w:rPr>
                <w:rFonts w:ascii="Aptos" w:hAnsi="Aptos"/>
                <w:b w:val="0"/>
                <w:sz w:val="17"/>
              </w:rPr>
              <w:t>Track response/resolution targets.</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Activity</w:t>
            </w:r>
          </w:p>
        </w:tc>
        <w:tc>
          <w:tcPr>
            <w:tcW w:type="dxa" w:w="3408"/>
            <w:vAlign w:val="center"/>
          </w:tcPr>
          <w:p>
            <w:r/>
            <w:r>
              <w:rPr>
                <w:rFonts w:ascii="Aptos" w:hAnsi="Aptos"/>
                <w:b w:val="0"/>
                <w:sz w:val="17"/>
              </w:rPr>
              <w:t>Record work notes, comments, assignment and lifecycle changes.</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Knowledge Creation</w:t>
            </w:r>
          </w:p>
        </w:tc>
        <w:tc>
          <w:tcPr>
            <w:tcW w:type="dxa" w:w="3408"/>
            <w:vAlign w:val="center"/>
          </w:tcPr>
          <w:p>
            <w:r/>
            <w:r>
              <w:rPr>
                <w:rFonts w:ascii="Aptos" w:hAnsi="Aptos"/>
                <w:b w:val="0"/>
                <w:sz w:val="17"/>
              </w:rPr>
              <w:t>Create a knowledge article from the validated final resolution.</w:t>
            </w:r>
          </w:p>
        </w:tc>
      </w:tr>
    </w:tbl>
    <w:p/>
    <w:p>
      <w:pPr>
        <w:pStyle w:val="Heading1"/>
      </w:pPr>
      <w:r>
        <w:t>4. Data / Record Relationships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Primary Record</w:t>
            </w:r>
          </w:p>
        </w:tc>
        <w:tc>
          <w:tcPr>
            <w:tcW w:type="dxa" w:w="3408"/>
            <w:vAlign w:val="center"/>
            <w:shd w:fill="D9EAF7"/>
          </w:tcPr>
          <w:p>
            <w:r/>
            <w:r>
              <w:rPr>
                <w:rFonts w:ascii="Aptos" w:hAnsi="Aptos"/>
                <w:b/>
                <w:sz w:val="17"/>
              </w:rPr>
              <w:t>Related Record</w:t>
            </w:r>
          </w:p>
        </w:tc>
        <w:tc>
          <w:tcPr>
            <w:tcW w:type="dxa" w:w="3408"/>
            <w:vAlign w:val="center"/>
            <w:shd w:fill="D9EAF7"/>
          </w:tcPr>
          <w:p>
            <w:r/>
            <w:r>
              <w:rPr>
                <w:rFonts w:ascii="Aptos" w:hAnsi="Aptos"/>
                <w:b/>
                <w:sz w:val="17"/>
              </w:rPr>
              <w:t>Relationship / Purpose</w:t>
            </w:r>
          </w:p>
        </w:tc>
      </w:tr>
      <w:tr>
        <w:tc>
          <w:tcPr>
            <w:tcW w:type="dxa" w:w="3408"/>
            <w:vAlign w:val="center"/>
          </w:tcPr>
          <w:p>
            <w:r/>
            <w:r>
              <w:rPr>
                <w:rFonts w:ascii="Aptos" w:hAnsi="Aptos"/>
                <w:b w:val="0"/>
                <w:sz w:val="17"/>
              </w:rPr>
              <w:t>Parent Incident</w:t>
            </w:r>
          </w:p>
        </w:tc>
        <w:tc>
          <w:tcPr>
            <w:tcW w:type="dxa" w:w="3408"/>
            <w:vAlign w:val="center"/>
          </w:tcPr>
          <w:p>
            <w:r/>
            <w:r>
              <w:rPr>
                <w:rFonts w:ascii="Aptos" w:hAnsi="Aptos"/>
                <w:b w:val="0"/>
                <w:sz w:val="17"/>
              </w:rPr>
              <w:t>Child Incident</w:t>
            </w:r>
          </w:p>
        </w:tc>
        <w:tc>
          <w:tcPr>
            <w:tcW w:type="dxa" w:w="3408"/>
            <w:vAlign w:val="center"/>
          </w:tcPr>
          <w:p>
            <w:r/>
            <w:r>
              <w:rPr>
                <w:rFonts w:ascii="Aptos" w:hAnsi="Aptos"/>
                <w:b w:val="0"/>
                <w:sz w:val="17"/>
              </w:rPr>
              <w:t>One parent can have one or more related child incidents.</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Change Request</w:t>
            </w:r>
          </w:p>
        </w:tc>
        <w:tc>
          <w:tcPr>
            <w:tcW w:type="dxa" w:w="3408"/>
            <w:vAlign w:val="center"/>
          </w:tcPr>
          <w:p>
            <w:r/>
            <w:r>
              <w:rPr>
                <w:rFonts w:ascii="Aptos" w:hAnsi="Aptos"/>
                <w:b w:val="0"/>
                <w:sz w:val="17"/>
              </w:rPr>
              <w:t>Incident provides business/technical context for the change.</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Knowledge Article</w:t>
            </w:r>
          </w:p>
        </w:tc>
        <w:tc>
          <w:tcPr>
            <w:tcW w:type="dxa" w:w="3408"/>
            <w:vAlign w:val="center"/>
          </w:tcPr>
          <w:p>
            <w:r/>
            <w:r>
              <w:rPr>
                <w:rFonts w:ascii="Aptos" w:hAnsi="Aptos"/>
                <w:b w:val="0"/>
                <w:sz w:val="17"/>
              </w:rPr>
              <w:t>Knowledge can be consulted during troubleshooting and created from resolution.</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Task SLA</w:t>
            </w:r>
          </w:p>
        </w:tc>
        <w:tc>
          <w:tcPr>
            <w:tcW w:type="dxa" w:w="3408"/>
            <w:vAlign w:val="center"/>
          </w:tcPr>
          <w:p>
            <w:r/>
            <w:r>
              <w:rPr>
                <w:rFonts w:ascii="Aptos" w:hAnsi="Aptos"/>
                <w:b w:val="0"/>
                <w:sz w:val="17"/>
              </w:rPr>
              <w:t>Task SLA tracks service-level performance for the incident.</w:t>
            </w:r>
          </w:p>
        </w:tc>
      </w:tr>
      <w:tr>
        <w:tc>
          <w:tcPr>
            <w:tcW w:type="dxa" w:w="3408"/>
            <w:vAlign w:val="center"/>
          </w:tcPr>
          <w:p>
            <w:r/>
            <w:r>
              <w:rPr>
                <w:rFonts w:ascii="Aptos" w:hAnsi="Aptos"/>
                <w:b w:val="0"/>
                <w:sz w:val="17"/>
              </w:rPr>
              <w:t>Incident</w:t>
            </w:r>
          </w:p>
        </w:tc>
        <w:tc>
          <w:tcPr>
            <w:tcW w:type="dxa" w:w="3408"/>
            <w:vAlign w:val="center"/>
          </w:tcPr>
          <w:p>
            <w:r/>
            <w:r>
              <w:rPr>
                <w:rFonts w:ascii="Aptos" w:hAnsi="Aptos"/>
                <w:b w:val="0"/>
                <w:sz w:val="17"/>
              </w:rPr>
              <w:t>Activity</w:t>
            </w:r>
          </w:p>
        </w:tc>
        <w:tc>
          <w:tcPr>
            <w:tcW w:type="dxa" w:w="3408"/>
            <w:vAlign w:val="center"/>
          </w:tcPr>
          <w:p>
            <w:r/>
            <w:r>
              <w:rPr>
                <w:rFonts w:ascii="Aptos" w:hAnsi="Aptos"/>
                <w:b w:val="0"/>
                <w:sz w:val="17"/>
              </w:rPr>
              <w:t>Activity stream provides an audit trail of work and communication.</w:t>
            </w:r>
          </w:p>
        </w:tc>
      </w:tr>
    </w:tbl>
    <w:p/>
    <w:p>
      <w:pPr>
        <w:pStyle w:val="Heading1"/>
      </w:pPr>
      <w:r>
        <w:t>5. Security &amp; Governance</w:t>
      </w:r>
    </w:p>
    <w:p>
      <w:pPr>
        <w:pStyle w:val="ListBullet"/>
      </w:pPr>
      <w:r>
        <w:t>Access is controlled through authenticated ServiceNow users and platform roles.</w:t>
      </w:r>
    </w:p>
    <w:p>
      <w:pPr>
        <w:pStyle w:val="ListBullet"/>
      </w:pPr>
      <w:r>
        <w:t>Only authorized users should modify incidents, changes and knowledge records.</w:t>
      </w:r>
    </w:p>
    <w:p>
      <w:pPr>
        <w:pStyle w:val="ListBullet"/>
      </w:pPr>
      <w:r>
        <w:t>Emergency changes remain subject to the organization's configured change controls.</w:t>
      </w:r>
    </w:p>
    <w:p>
      <w:pPr>
        <w:pStyle w:val="ListBullet"/>
      </w:pPr>
      <w:r>
        <w:t>Activity history provides traceability for operational actions.</w:t>
      </w:r>
    </w:p>
    <w:p>
      <w:pPr>
        <w:pStyle w:val="ListBullet"/>
      </w:pPr>
      <w:r>
        <w:t>Configuration and data should be maintained according to organizational ServiceNow governance.</w:t>
      </w:r>
    </w:p>
    <w:p>
      <w:pPr>
        <w:pStyle w:val="Heading1"/>
      </w:pPr>
      <w:r>
        <w:t>6. End-to-End Architecture Flow</w:t>
      </w:r>
    </w:p>
    <w:p>
      <w:r>
        <w:t>User → Service Desk → Incident → Knowledge → Level 2 Support → Emergency Change → Child Incident → Resolution → Knowledge Creation → SLA &amp; Related-Record Validation</w:t>
      </w:r>
    </w:p>
    <w:p>
      <w:pPr>
        <w:pStyle w:val="Heading1"/>
      </w:pPr>
      <w:r>
        <w:t>7. Project Repository</w:t>
      </w:r>
    </w:p>
    <w:p>
      <w:r>
        <w:t>https://github.com/renuka-0510/Incident-Lifecycle-Automation-ServiceNow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