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Development Phase</w:t>
        <w:br/>
        <w:t>Functional &amp; Performance Testing</w:t>
      </w:r>
    </w:p>
    <w:p>
      <w:pPr>
        <w:jc w:val="center"/>
      </w:pPr>
      <w:r>
        <w:rPr>
          <w:b/>
          <w:sz w:val="26"/>
        </w:rPr>
        <w:t>Incident Lifecycle Automation in ServiceNow</w:t>
      </w:r>
    </w:p>
    <w:p>
      <w:r>
        <w:t>Functional &amp; Performance Testing: The project team shall validate the Incident Lifecycle Automation workflow using the following test scenarios and results.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Date</w:t>
            </w:r>
          </w:p>
        </w:tc>
        <w:tc>
          <w:tcPr>
            <w:tcW w:type="dxa" w:w="5112"/>
            <w:vAlign w:val="center"/>
          </w:tcPr>
          <w:p>
            <w:r>
              <w:t>12 September 2026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t>Team ID</w:t>
            </w:r>
          </w:p>
        </w:tc>
        <w:tc>
          <w:tcPr>
            <w:tcW w:type="dxa" w:w="5112"/>
            <w:vAlign w:val="center"/>
          </w:tcPr>
          <w:p>
            <w:r>
              <w:t>PNT2022TMIDxxxxxx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t>Project Name</w:t>
            </w:r>
          </w:p>
        </w:tc>
        <w:tc>
          <w:tcPr>
            <w:tcW w:type="dxa" w:w="5112"/>
            <w:vAlign w:val="center"/>
          </w:tcPr>
          <w:p>
            <w:r>
              <w:t>Incident Lifecycle Automation in ServiceNow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t>Maximum Marks</w:t>
            </w:r>
          </w:p>
        </w:tc>
        <w:tc>
          <w:tcPr>
            <w:tcW w:type="dxa" w:w="5112"/>
            <w:vAlign w:val="center"/>
          </w:tcPr>
          <w:p>
            <w:r/>
          </w:p>
        </w:tc>
      </w:tr>
    </w:tbl>
    <w:p>
      <w:pPr>
        <w:pStyle w:val="Heading1"/>
      </w:pPr>
      <w:r>
        <w:t>Test Scenarios &amp;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t>Test Case ID</w:t>
            </w:r>
          </w:p>
        </w:tc>
        <w:tc>
          <w:tcPr>
            <w:tcW w:type="dxa" w:w="1704"/>
            <w:shd w:fill="D9EAF7"/>
          </w:tcPr>
          <w:p>
            <w:r>
              <w:t>Scenario (What to test)</w:t>
            </w:r>
          </w:p>
        </w:tc>
        <w:tc>
          <w:tcPr>
            <w:tcW w:type="dxa" w:w="1704"/>
            <w:shd w:fill="D9EAF7"/>
          </w:tcPr>
          <w:p>
            <w:r>
              <w:t>Test Steps (How to test)</w:t>
            </w:r>
          </w:p>
        </w:tc>
        <w:tc>
          <w:tcPr>
            <w:tcW w:type="dxa" w:w="1704"/>
            <w:shd w:fill="D9EAF7"/>
          </w:tcPr>
          <w:p>
            <w:r>
              <w:t>Expected Result</w:t>
            </w:r>
          </w:p>
        </w:tc>
        <w:tc>
          <w:tcPr>
            <w:tcW w:type="dxa" w:w="1704"/>
            <w:shd w:fill="D9EAF7"/>
          </w:tcPr>
          <w:p>
            <w:r>
              <w:t>Actual Result</w:t>
            </w:r>
          </w:p>
        </w:tc>
        <w:tc>
          <w:tcPr>
            <w:tcW w:type="dxa" w:w="1704"/>
            <w:shd w:fill="D9EAF7"/>
          </w:tcPr>
          <w:p>
            <w:r>
              <w:t>Pass/Fail</w:t>
            </w:r>
          </w:p>
        </w:tc>
      </w:tr>
      <w:tr>
        <w:tc>
          <w:tcPr>
            <w:tcW w:type="dxa" w:w="1704"/>
          </w:tcPr>
          <w:p>
            <w:r>
              <w:t>FT-01</w:t>
            </w:r>
          </w:p>
        </w:tc>
        <w:tc>
          <w:tcPr>
            <w:tcW w:type="dxa" w:w="1704"/>
          </w:tcPr>
          <w:p>
            <w:r>
              <w:t>Incident record creation</w:t>
            </w:r>
          </w:p>
        </w:tc>
        <w:tc>
          <w:tcPr>
            <w:tcW w:type="dxa" w:w="1704"/>
          </w:tcPr>
          <w:p>
            <w:r>
              <w:t>Open Service Operations Workspace; create an incident; enter caller and description; save.</w:t>
            </w:r>
          </w:p>
        </w:tc>
        <w:tc>
          <w:tcPr>
            <w:tcW w:type="dxa" w:w="1704"/>
          </w:tcPr>
          <w:p>
            <w:r>
              <w:t>Incident is created with a valid incident number and saved details.</w:t>
            </w:r>
          </w:p>
        </w:tc>
        <w:tc>
          <w:tcPr>
            <w:tcW w:type="dxa" w:w="1704"/>
          </w:tcPr>
          <w:p>
            <w:r>
              <w:t>Incident created successfully.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FT-02</w:t>
            </w:r>
          </w:p>
        </w:tc>
        <w:tc>
          <w:tcPr>
            <w:tcW w:type="dxa" w:w="1704"/>
          </w:tcPr>
          <w:p>
            <w:r>
              <w:t>Incident classification</w:t>
            </w:r>
          </w:p>
        </w:tc>
        <w:tc>
          <w:tcPr>
            <w:tcW w:type="dxa" w:w="1704"/>
          </w:tcPr>
          <w:p>
            <w:r>
              <w:t>Set Category=Network, Subcategory=VPN, Urgency=2-Medium, Service=Remote Access, Service Offering=Corporate VPN and a valid CI.</w:t>
            </w:r>
          </w:p>
        </w:tc>
        <w:tc>
          <w:tcPr>
            <w:tcW w:type="dxa" w:w="1704"/>
          </w:tcPr>
          <w:p>
            <w:r>
              <w:t>Classification fields accept valid values and remain saved.</w:t>
            </w:r>
          </w:p>
        </w:tc>
        <w:tc>
          <w:tcPr>
            <w:tcW w:type="dxa" w:w="1704"/>
          </w:tcPr>
          <w:p>
            <w:r>
              <w:t>Classification saved successfully.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FT-03</w:t>
            </w:r>
          </w:p>
        </w:tc>
        <w:tc>
          <w:tcPr>
            <w:tcW w:type="dxa" w:w="1704"/>
          </w:tcPr>
          <w:p>
            <w:r>
              <w:t>Agent Assist / Knowledge integration</w:t>
            </w:r>
          </w:p>
        </w:tc>
        <w:tc>
          <w:tcPr>
            <w:tcW w:type="dxa" w:w="1704"/>
          </w:tcPr>
          <w:p>
            <w:r>
              <w:t>Open Agent Assist; search for VPN authentication guidance; review/link the relevant knowledge article.</w:t>
            </w:r>
          </w:p>
        </w:tc>
        <w:tc>
          <w:tcPr>
            <w:tcW w:type="dxa" w:w="1704"/>
          </w:tcPr>
          <w:p>
            <w:r>
              <w:t>Relevant knowledge content is displayed and can be used from the incident.</w:t>
            </w:r>
          </w:p>
        </w:tc>
        <w:tc>
          <w:tcPr>
            <w:tcW w:type="dxa" w:w="1704"/>
          </w:tcPr>
          <w:p>
            <w:r>
              <w:t>Knowledge content available from Agent Assist.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FT-04</w:t>
            </w:r>
          </w:p>
        </w:tc>
        <w:tc>
          <w:tcPr>
            <w:tcW w:type="dxa" w:w="1704"/>
          </w:tcPr>
          <w:p>
            <w:r>
              <w:t>Assignment and escalation</w:t>
            </w:r>
          </w:p>
        </w:tc>
        <w:tc>
          <w:tcPr>
            <w:tcW w:type="dxa" w:w="1704"/>
          </w:tcPr>
          <w:p>
            <w:r>
              <w:t>Assign the incident to the appropriate support agent/group; save and verify ownership.</w:t>
            </w:r>
          </w:p>
        </w:tc>
        <w:tc>
          <w:tcPr>
            <w:tcW w:type="dxa" w:w="1704"/>
          </w:tcPr>
          <w:p>
            <w:r>
              <w:t>Incident shows the correct assignment and ownership.</w:t>
            </w:r>
          </w:p>
        </w:tc>
        <w:tc>
          <w:tcPr>
            <w:tcW w:type="dxa" w:w="1704"/>
          </w:tcPr>
          <w:p>
            <w:r>
              <w:t>Assignment verified.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FT-05</w:t>
            </w:r>
          </w:p>
        </w:tc>
        <w:tc>
          <w:tcPr>
            <w:tcW w:type="dxa" w:w="1704"/>
          </w:tcPr>
          <w:p>
            <w:r>
              <w:t>Child incident creation</w:t>
            </w:r>
          </w:p>
        </w:tc>
        <w:tc>
          <w:tcPr>
            <w:tcW w:type="dxa" w:w="1704"/>
          </w:tcPr>
          <w:p>
            <w:r>
              <w:t>Open Related Records &gt; Child Incidents; create a child incident with a VPN issue description; save.</w:t>
            </w:r>
          </w:p>
        </w:tc>
        <w:tc>
          <w:tcPr>
            <w:tcW w:type="dxa" w:w="1704"/>
          </w:tcPr>
          <w:p>
            <w:r>
              <w:t>Child incident is created and linked to the parent incident.</w:t>
            </w:r>
          </w:p>
        </w:tc>
        <w:tc>
          <w:tcPr>
            <w:tcW w:type="dxa" w:w="1704"/>
          </w:tcPr>
          <w:p>
            <w:r>
              <w:t>Child incident created and linked.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FT-06</w:t>
            </w:r>
          </w:p>
        </w:tc>
        <w:tc>
          <w:tcPr>
            <w:tcW w:type="dxa" w:w="1704"/>
          </w:tcPr>
          <w:p>
            <w:r>
              <w:t>Emergency change integration</w:t>
            </w:r>
          </w:p>
        </w:tc>
        <w:tc>
          <w:tcPr>
            <w:tcW w:type="dxa" w:w="1704"/>
          </w:tcPr>
          <w:p>
            <w:r>
              <w:t>From the incident, initiate/verify the emergency change relationship for the required infrastructure/service action.</w:t>
            </w:r>
          </w:p>
        </w:tc>
        <w:tc>
          <w:tcPr>
            <w:tcW w:type="dxa" w:w="1704"/>
          </w:tcPr>
          <w:p>
            <w:r>
              <w:t>Change record is created or linked with the incident context and traceability.</w:t>
            </w:r>
          </w:p>
        </w:tc>
        <w:tc>
          <w:tcPr>
            <w:tcW w:type="dxa" w:w="1704"/>
          </w:tcPr>
          <w:p>
            <w:r>
              <w:t>Change linkage verified where configured.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FT-07</w:t>
            </w:r>
          </w:p>
        </w:tc>
        <w:tc>
          <w:tcPr>
            <w:tcW w:type="dxa" w:w="1704"/>
          </w:tcPr>
          <w:p>
            <w:r>
              <w:t>Cause and resolution</w:t>
            </w:r>
          </w:p>
        </w:tc>
        <w:tc>
          <w:tcPr>
            <w:tcW w:type="dxa" w:w="1704"/>
          </w:tcPr>
          <w:p>
            <w:r>
              <w:t>Add probable cause; enter resolution code and resolution notes; resolve the incident.</w:t>
            </w:r>
          </w:p>
        </w:tc>
        <w:tc>
          <w:tcPr>
            <w:tcW w:type="dxa" w:w="1704"/>
          </w:tcPr>
          <w:p>
            <w:r>
              <w:t>Cause and resolution information is stored and incident reaches Resolved state.</w:t>
            </w:r>
          </w:p>
        </w:tc>
        <w:tc>
          <w:tcPr>
            <w:tcW w:type="dxa" w:w="1704"/>
          </w:tcPr>
          <w:p>
            <w:r>
              <w:t>Resolution completed successfully.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FT-08</w:t>
            </w:r>
          </w:p>
        </w:tc>
        <w:tc>
          <w:tcPr>
            <w:tcW w:type="dxa" w:w="1704"/>
          </w:tcPr>
          <w:p>
            <w:r>
              <w:t>Knowledge article creation</w:t>
            </w:r>
          </w:p>
        </w:tc>
        <w:tc>
          <w:tcPr>
            <w:tcW w:type="dxa" w:w="1704"/>
          </w:tcPr>
          <w:p>
            <w:r>
              <w:t>Create a knowledge article from the resolved incident using the IT Knowledge Base and Standard template.</w:t>
            </w:r>
          </w:p>
        </w:tc>
        <w:tc>
          <w:tcPr>
            <w:tcW w:type="dxa" w:w="1704"/>
          </w:tcPr>
          <w:p>
            <w:r>
              <w:t>Knowledge article is created and associated with the resolved incident.</w:t>
            </w:r>
          </w:p>
        </w:tc>
        <w:tc>
          <w:tcPr>
            <w:tcW w:type="dxa" w:w="1704"/>
          </w:tcPr>
          <w:p>
            <w:r>
              <w:t>Knowledge article created successfully.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FT-09</w:t>
            </w:r>
          </w:p>
        </w:tc>
        <w:tc>
          <w:tcPr>
            <w:tcW w:type="dxa" w:w="1704"/>
          </w:tcPr>
          <w:p>
            <w:r>
              <w:t>SLA tracking</w:t>
            </w:r>
          </w:p>
        </w:tc>
        <w:tc>
          <w:tcPr>
            <w:tcW w:type="dxa" w:w="1704"/>
          </w:tcPr>
          <w:p>
            <w:r>
              <w:t>Open Task SLAs/related records and verify SLA information for the incident.</w:t>
            </w:r>
          </w:p>
        </w:tc>
        <w:tc>
          <w:tcPr>
            <w:tcW w:type="dxa" w:w="1704"/>
          </w:tcPr>
          <w:p>
            <w:r>
              <w:t>SLA record and status are visible and trackable.</w:t>
            </w:r>
          </w:p>
        </w:tc>
        <w:tc>
          <w:tcPr>
            <w:tcW w:type="dxa" w:w="1704"/>
          </w:tcPr>
          <w:p>
            <w:r>
              <w:t>SLA information verified.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PT-01</w:t>
            </w:r>
          </w:p>
        </w:tc>
        <w:tc>
          <w:tcPr>
            <w:tcW w:type="dxa" w:w="1704"/>
          </w:tcPr>
          <w:p>
            <w:r>
              <w:t>Incident save response</w:t>
            </w:r>
          </w:p>
        </w:tc>
        <w:tc>
          <w:tcPr>
            <w:tcW w:type="dxa" w:w="1704"/>
          </w:tcPr>
          <w:p>
            <w:r>
              <w:t>Create/update an incident and observe the time required to save and refresh the record.</w:t>
            </w:r>
          </w:p>
        </w:tc>
        <w:tc>
          <w:tcPr>
            <w:tcW w:type="dxa" w:w="1704"/>
          </w:tcPr>
          <w:p>
            <w:r>
              <w:t>Record saves and refreshes without noticeable delay or timeout.</w:t>
            </w:r>
          </w:p>
        </w:tc>
        <w:tc>
          <w:tcPr>
            <w:tcW w:type="dxa" w:w="1704"/>
          </w:tcPr>
          <w:p>
            <w:r>
              <w:t>Completed without timeout.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PT-02</w:t>
            </w:r>
          </w:p>
        </w:tc>
        <w:tc>
          <w:tcPr>
            <w:tcW w:type="dxa" w:w="1704"/>
          </w:tcPr>
          <w:p>
            <w:r>
              <w:t>Related-record load</w:t>
            </w:r>
          </w:p>
        </w:tc>
        <w:tc>
          <w:tcPr>
            <w:tcW w:type="dxa" w:w="1704"/>
          </w:tcPr>
          <w:p>
            <w:r>
              <w:t>Open Related Records containing child incidents, SLAs and other linked records.</w:t>
            </w:r>
          </w:p>
        </w:tc>
        <w:tc>
          <w:tcPr>
            <w:tcW w:type="dxa" w:w="1704"/>
          </w:tcPr>
          <w:p>
            <w:r>
              <w:t>Related lists load correctly without errors.</w:t>
            </w:r>
          </w:p>
        </w:tc>
        <w:tc>
          <w:tcPr>
            <w:tcW w:type="dxa" w:w="1704"/>
          </w:tcPr>
          <w:p>
            <w:r>
              <w:t>Related records loaded successfully.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PT-03</w:t>
            </w:r>
          </w:p>
        </w:tc>
        <w:tc>
          <w:tcPr>
            <w:tcW w:type="dxa" w:w="1704"/>
          </w:tcPr>
          <w:p>
            <w:r>
              <w:t>Workspace navigation performance</w:t>
            </w:r>
          </w:p>
        </w:tc>
        <w:tc>
          <w:tcPr>
            <w:tcW w:type="dxa" w:w="1704"/>
          </w:tcPr>
          <w:p>
            <w:r>
              <w:t>Navigate between Incidents, Overview, Related Records and incident details.</w:t>
            </w:r>
          </w:p>
        </w:tc>
        <w:tc>
          <w:tcPr>
            <w:tcW w:type="dxa" w:w="1704"/>
          </w:tcPr>
          <w:p>
            <w:r>
              <w:t>Workspace navigation remains responsive and does not fail.</w:t>
            </w:r>
          </w:p>
        </w:tc>
        <w:tc>
          <w:tcPr>
            <w:tcW w:type="dxa" w:w="1704"/>
          </w:tcPr>
          <w:p>
            <w:r>
              <w:t>Navigation completed successfully.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</w:tbl>
    <w:p>
      <w:pPr>
        <w:pStyle w:val="Heading1"/>
      </w:pPr>
      <w:r>
        <w:t>Performance Validation Summary</w:t>
      </w:r>
    </w:p>
    <w:p>
      <w:pPr>
        <w:pStyle w:val="ListBullet"/>
      </w:pPr>
      <w:r>
        <w:t>Record creation, updates and resolution completed without timeout.</w:t>
      </w:r>
    </w:p>
    <w:p>
      <w:pPr>
        <w:pStyle w:val="ListBullet"/>
      </w:pPr>
      <w:r>
        <w:t>Related records such as Child Incidents and Task SLAs were accessible from the incident.</w:t>
      </w:r>
    </w:p>
    <w:p>
      <w:pPr>
        <w:pStyle w:val="ListBullet"/>
      </w:pPr>
      <w:r>
        <w:t>Service Operations Workspace navigation remained usable throughout the lifecycle.</w:t>
      </w:r>
    </w:p>
    <w:p>
      <w:pPr>
        <w:pStyle w:val="ListBullet"/>
      </w:pPr>
      <w:r>
        <w:t>Testing focused on functional correctness and practical response/performance validation in the ServiceNow PDI environment.</w:t>
      </w:r>
    </w:p>
    <w:p>
      <w:r>
        <w:t xml:space="preserve">Evidence / Screenshots: </w:t>
      </w:r>
      <w:r>
        <w:rPr>
          <w:i/>
        </w:rPr>
        <w:t>Add ServiceNow screenshots for incident creation, classification, Agent Assist, assignment, child incident, change linkage, resolution, knowledge creation and SLA tracking before final submission.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