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Ideation Phase</w:t>
      </w:r>
    </w:p>
    <w:p>
      <w:pPr>
        <w:jc w:val="center"/>
      </w:pPr>
      <w:r>
        <w:rPr>
          <w:rFonts w:ascii="Arial" w:hAnsi="Arial"/>
          <w:b/>
          <w:sz w:val="40"/>
        </w:rPr>
        <w:t>Define the Problem Statements</w:t>
      </w:r>
    </w:p>
    <w:p/>
    <w:p>
      <w:r>
        <w:rPr>
          <w:b/>
          <w:sz w:val="26"/>
        </w:rPr>
        <w:t>Customer Problem Statement Template:</w:t>
      </w:r>
    </w:p>
    <w:p>
      <w:r>
        <w:t>The problem statements below focus on the experience of users and IT support teams during the incident lifecycle. They are written to guide the design of a structured ServiceNow solution rather than jumping directly to a technical implementation.</w:t>
      </w:r>
    </w:p>
    <w:p>
      <w:r>
        <w:t>A well-defined problem statement identifies who is affected, what they are trying to accomplish, what prevents success, why the problem occurs, and the resulting impact.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Date</w:t>
            </w:r>
          </w:p>
        </w:tc>
        <w:tc>
          <w:tcPr>
            <w:tcW w:type="dxa" w:w="5112"/>
            <w:vAlign w:val="center"/>
          </w:tcPr>
          <w:p>
            <w:r/>
            <w:r>
              <w:rPr>
                <w:b w:val="0"/>
                <w:sz w:val="20"/>
              </w:rPr>
              <w:t>12 September 2026</w:t>
            </w:r>
          </w:p>
        </w:tc>
      </w:tr>
      <w:tr>
        <w:tc>
          <w:tcPr>
            <w:tcW w:type="dxa" w:w="5112"/>
            <w:vAlign w:val="center"/>
            <w:shd w:fill="D9EAF7"/>
          </w:tcPr>
          <w:p>
            <w:r/>
            <w:r>
              <w:rPr>
                <w:b/>
                <w:sz w:val="20"/>
              </w:rPr>
              <w:t>Team ID</w:t>
            </w:r>
          </w:p>
        </w:tc>
        <w:tc>
          <w:tcPr>
            <w:tcW w:type="dxa" w:w="5112"/>
            <w:vAlign w:val="center"/>
          </w:tcPr>
          <w:p>
            <w:r/>
            <w:r>
              <w:rPr>
                <w:b w:val="0"/>
                <w:sz w:val="20"/>
              </w:rPr>
            </w:r>
          </w:p>
        </w:tc>
      </w:tr>
      <w:tr>
        <w:tc>
          <w:tcPr>
            <w:tcW w:type="dxa" w:w="5112"/>
            <w:vAlign w:val="center"/>
            <w:shd w:fill="D9EAF7"/>
          </w:tcPr>
          <w:p>
            <w:r/>
            <w:r>
              <w:rPr>
                <w:b/>
                <w:sz w:val="20"/>
              </w:rPr>
              <w:t>Project Name</w:t>
            </w:r>
          </w:p>
        </w:tc>
        <w:tc>
          <w:tcPr>
            <w:tcW w:type="dxa" w:w="5112"/>
            <w:vAlign w:val="center"/>
          </w:tcPr>
          <w:p>
            <w:r/>
            <w:r>
              <w:rPr>
                <w:b w:val="0"/>
                <w:sz w:val="20"/>
              </w:rPr>
              <w:t>Incident Lifecycle Automation in ServiceNow</w:t>
            </w:r>
          </w:p>
        </w:tc>
      </w:tr>
      <w:tr>
        <w:tc>
          <w:tcPr>
            <w:tcW w:type="dxa" w:w="5112"/>
            <w:vAlign w:val="center"/>
            <w:shd w:fill="D9EAF7"/>
          </w:tcPr>
          <w:p>
            <w:r/>
            <w:r>
              <w:rPr>
                <w:b/>
                <w:sz w:val="20"/>
              </w:rPr>
              <w:t>Maximum Marks</w:t>
            </w:r>
          </w:p>
        </w:tc>
        <w:tc>
          <w:tcPr>
            <w:tcW w:type="dxa" w:w="5112"/>
            <w:vAlign w:val="center"/>
          </w:tcPr>
          <w:p>
            <w:r/>
            <w:r>
              <w:rPr>
                <w:b w:val="0"/>
                <w:sz w:val="20"/>
              </w:rPr>
              <w:t>2 Marks</w:t>
            </w:r>
          </w:p>
        </w:tc>
      </w:tr>
    </w:tbl>
    <w:p/>
    <w:p>
      <w:pPr>
        <w:pStyle w:val="Heading2"/>
      </w:pPr>
      <w:r>
        <w:t>Problem Statements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20"/>
              </w:rPr>
              <w:t>Problem Statement</w:t>
            </w:r>
          </w:p>
        </w:tc>
        <w:tc>
          <w:tcPr>
            <w:tcW w:type="dxa" w:w="1704"/>
            <w:vAlign w:val="center"/>
            <w:shd w:fill="D9EAF7"/>
          </w:tcPr>
          <w:p>
            <w:r/>
            <w:r>
              <w:rPr>
                <w:b/>
                <w:sz w:val="20"/>
              </w:rPr>
              <w:t>I am (Customer)</w:t>
            </w:r>
          </w:p>
        </w:tc>
        <w:tc>
          <w:tcPr>
            <w:tcW w:type="dxa" w:w="1704"/>
            <w:vAlign w:val="center"/>
            <w:shd w:fill="D9EAF7"/>
          </w:tcPr>
          <w:p>
            <w:r/>
            <w:r>
              <w:rPr>
                <w:b/>
                <w:sz w:val="20"/>
              </w:rPr>
              <w:t>I’m trying to</w:t>
            </w:r>
          </w:p>
        </w:tc>
        <w:tc>
          <w:tcPr>
            <w:tcW w:type="dxa" w:w="1704"/>
            <w:vAlign w:val="center"/>
            <w:shd w:fill="D9EAF7"/>
          </w:tcPr>
          <w:p>
            <w:r/>
            <w:r>
              <w:rPr>
                <w:b/>
                <w:sz w:val="20"/>
              </w:rPr>
              <w:t>But</w:t>
            </w:r>
          </w:p>
        </w:tc>
        <w:tc>
          <w:tcPr>
            <w:tcW w:type="dxa" w:w="1704"/>
            <w:vAlign w:val="center"/>
            <w:shd w:fill="D9EAF7"/>
          </w:tcPr>
          <w:p>
            <w:r/>
            <w:r>
              <w:rPr>
                <w:b/>
                <w:sz w:val="20"/>
              </w:rPr>
              <w:t>Because</w:t>
            </w:r>
          </w:p>
        </w:tc>
        <w:tc>
          <w:tcPr>
            <w:tcW w:type="dxa" w:w="1704"/>
            <w:vAlign w:val="center"/>
            <w:shd w:fill="D9EAF7"/>
          </w:tcPr>
          <w:p>
            <w:r/>
            <w:r>
              <w:rPr>
                <w:b/>
                <w:sz w:val="20"/>
              </w:rPr>
              <w:t>Which makes me feel / Impact</w:t>
            </w:r>
          </w:p>
        </w:tc>
      </w:tr>
      <w:tr>
        <w:tc>
          <w:tcPr>
            <w:tcW w:type="dxa" w:w="1704"/>
            <w:vAlign w:val="center"/>
          </w:tcPr>
          <w:p>
            <w:r/>
            <w:r>
              <w:rPr>
                <w:b w:val="0"/>
                <w:sz w:val="20"/>
              </w:rPr>
              <w:t>PS-1</w:t>
            </w:r>
          </w:p>
        </w:tc>
        <w:tc>
          <w:tcPr>
            <w:tcW w:type="dxa" w:w="1704"/>
            <w:vAlign w:val="center"/>
          </w:tcPr>
          <w:p>
            <w:r/>
            <w:r>
              <w:rPr>
                <w:b w:val="0"/>
                <w:sz w:val="20"/>
              </w:rPr>
              <w:t>IT user / Service Desk agent</w:t>
            </w:r>
          </w:p>
        </w:tc>
        <w:tc>
          <w:tcPr>
            <w:tcW w:type="dxa" w:w="1704"/>
            <w:vAlign w:val="center"/>
          </w:tcPr>
          <w:p>
            <w:r/>
            <w:r>
              <w:rPr>
                <w:b w:val="0"/>
                <w:sz w:val="20"/>
              </w:rPr>
              <w:t>report and resolve a corporate VPN incident quickly</w:t>
            </w:r>
          </w:p>
        </w:tc>
        <w:tc>
          <w:tcPr>
            <w:tcW w:type="dxa" w:w="1704"/>
            <w:vAlign w:val="center"/>
          </w:tcPr>
          <w:p>
            <w:r/>
            <w:r>
              <w:rPr>
                <w:b w:val="0"/>
                <w:sz w:val="20"/>
              </w:rPr>
              <w:t>incident details may be incomplete or inconsistently classified</w:t>
            </w:r>
          </w:p>
        </w:tc>
        <w:tc>
          <w:tcPr>
            <w:tcW w:type="dxa" w:w="1704"/>
            <w:vAlign w:val="center"/>
          </w:tcPr>
          <w:p>
            <w:r/>
            <w:r>
              <w:rPr>
                <w:b w:val="0"/>
                <w:sz w:val="20"/>
              </w:rPr>
              <w:t>incidents can arrive through informal channels and require manual interpretation</w:t>
            </w:r>
          </w:p>
        </w:tc>
        <w:tc>
          <w:tcPr>
            <w:tcW w:type="dxa" w:w="1704"/>
            <w:vAlign w:val="center"/>
          </w:tcPr>
          <w:p>
            <w:r/>
            <w:r>
              <w:rPr>
                <w:b w:val="0"/>
                <w:sz w:val="20"/>
              </w:rPr>
              <w:t>delays, repeated troubleshooting and possible SLA risk</w:t>
            </w:r>
          </w:p>
        </w:tc>
      </w:tr>
      <w:tr>
        <w:tc>
          <w:tcPr>
            <w:tcW w:type="dxa" w:w="1704"/>
            <w:vAlign w:val="center"/>
          </w:tcPr>
          <w:p>
            <w:r/>
            <w:r>
              <w:rPr>
                <w:b w:val="0"/>
                <w:sz w:val="20"/>
              </w:rPr>
              <w:t>PS-2</w:t>
            </w:r>
          </w:p>
        </w:tc>
        <w:tc>
          <w:tcPr>
            <w:tcW w:type="dxa" w:w="1704"/>
            <w:vAlign w:val="center"/>
          </w:tcPr>
          <w:p>
            <w:r/>
            <w:r>
              <w:rPr>
                <w:b w:val="0"/>
                <w:sz w:val="20"/>
              </w:rPr>
              <w:t>Service Desk agent</w:t>
            </w:r>
          </w:p>
        </w:tc>
        <w:tc>
          <w:tcPr>
            <w:tcW w:type="dxa" w:w="1704"/>
            <w:vAlign w:val="center"/>
          </w:tcPr>
          <w:p>
            <w:r/>
            <w:r>
              <w:rPr>
                <w:b w:val="0"/>
                <w:sz w:val="20"/>
              </w:rPr>
              <w:t>escalate an incident to the correct support team</w:t>
            </w:r>
          </w:p>
        </w:tc>
        <w:tc>
          <w:tcPr>
            <w:tcW w:type="dxa" w:w="1704"/>
            <w:vAlign w:val="center"/>
          </w:tcPr>
          <w:p>
            <w:r/>
            <w:r>
              <w:rPr>
                <w:b w:val="0"/>
                <w:sz w:val="20"/>
              </w:rPr>
              <w:t>ownership and escalation steps are not always clear</w:t>
            </w:r>
          </w:p>
        </w:tc>
        <w:tc>
          <w:tcPr>
            <w:tcW w:type="dxa" w:w="1704"/>
            <w:vAlign w:val="center"/>
          </w:tcPr>
          <w:p>
            <w:r/>
            <w:r>
              <w:rPr>
                <w:b w:val="0"/>
                <w:sz w:val="20"/>
              </w:rPr>
              <w:t>specialist support, change activities and incident records may be managed separately</w:t>
            </w:r>
          </w:p>
        </w:tc>
        <w:tc>
          <w:tcPr>
            <w:tcW w:type="dxa" w:w="1704"/>
            <w:vAlign w:val="center"/>
          </w:tcPr>
          <w:p>
            <w:r/>
            <w:r>
              <w:rPr>
                <w:b w:val="0"/>
                <w:sz w:val="20"/>
              </w:rPr>
              <w:t>delayed resolution and reduced accountability</w:t>
            </w:r>
          </w:p>
        </w:tc>
      </w:tr>
      <w:tr>
        <w:tc>
          <w:tcPr>
            <w:tcW w:type="dxa" w:w="1704"/>
            <w:vAlign w:val="center"/>
          </w:tcPr>
          <w:p>
            <w:r/>
            <w:r>
              <w:rPr>
                <w:b w:val="0"/>
                <w:sz w:val="20"/>
              </w:rPr>
              <w:t>PS-3</w:t>
            </w:r>
          </w:p>
        </w:tc>
        <w:tc>
          <w:tcPr>
            <w:tcW w:type="dxa" w:w="1704"/>
            <w:vAlign w:val="center"/>
          </w:tcPr>
          <w:p>
            <w:r/>
            <w:r>
              <w:rPr>
                <w:b w:val="0"/>
                <w:sz w:val="20"/>
              </w:rPr>
              <w:t>Level 2 support team</w:t>
            </w:r>
          </w:p>
        </w:tc>
        <w:tc>
          <w:tcPr>
            <w:tcW w:type="dxa" w:w="1704"/>
            <w:vAlign w:val="center"/>
          </w:tcPr>
          <w:p>
            <w:r/>
            <w:r>
              <w:rPr>
                <w:b w:val="0"/>
                <w:sz w:val="20"/>
              </w:rPr>
              <w:t>remediate the technical issue safely</w:t>
            </w:r>
          </w:p>
        </w:tc>
        <w:tc>
          <w:tcPr>
            <w:tcW w:type="dxa" w:w="1704"/>
            <w:vAlign w:val="center"/>
          </w:tcPr>
          <w:p>
            <w:r/>
            <w:r>
              <w:rPr>
                <w:b w:val="0"/>
                <w:sz w:val="20"/>
              </w:rPr>
              <w:t>the required configuration or emergency change may not be linked to the incident</w:t>
            </w:r>
          </w:p>
        </w:tc>
        <w:tc>
          <w:tcPr>
            <w:tcW w:type="dxa" w:w="1704"/>
            <w:vAlign w:val="center"/>
          </w:tcPr>
          <w:p>
            <w:r/>
            <w:r>
              <w:rPr>
                <w:b w:val="0"/>
                <w:sz w:val="20"/>
              </w:rPr>
              <w:t>change work needs controlled approval and traceability</w:t>
            </w:r>
          </w:p>
        </w:tc>
        <w:tc>
          <w:tcPr>
            <w:tcW w:type="dxa" w:w="1704"/>
            <w:vAlign w:val="center"/>
          </w:tcPr>
          <w:p>
            <w:r/>
            <w:r>
              <w:rPr>
                <w:b w:val="0"/>
                <w:sz w:val="20"/>
              </w:rPr>
              <w:t>risk of incomplete audit history and unsafe remediation</w:t>
            </w:r>
          </w:p>
        </w:tc>
      </w:tr>
      <w:tr>
        <w:tc>
          <w:tcPr>
            <w:tcW w:type="dxa" w:w="1704"/>
            <w:vAlign w:val="center"/>
          </w:tcPr>
          <w:p>
            <w:r/>
            <w:r>
              <w:rPr>
                <w:b w:val="0"/>
                <w:sz w:val="20"/>
              </w:rPr>
              <w:t>PS-4</w:t>
            </w:r>
          </w:p>
        </w:tc>
        <w:tc>
          <w:tcPr>
            <w:tcW w:type="dxa" w:w="1704"/>
            <w:vAlign w:val="center"/>
          </w:tcPr>
          <w:p>
            <w:r/>
            <w:r>
              <w:rPr>
                <w:b w:val="0"/>
                <w:sz w:val="20"/>
              </w:rPr>
              <w:t>Service Desk / Knowledge team</w:t>
            </w:r>
          </w:p>
        </w:tc>
        <w:tc>
          <w:tcPr>
            <w:tcW w:type="dxa" w:w="1704"/>
            <w:vAlign w:val="center"/>
          </w:tcPr>
          <w:p>
            <w:r/>
            <w:r>
              <w:rPr>
                <w:b w:val="0"/>
                <w:sz w:val="20"/>
              </w:rPr>
              <w:t>reuse successful troubleshooting steps for future incidents</w:t>
            </w:r>
          </w:p>
        </w:tc>
        <w:tc>
          <w:tcPr>
            <w:tcW w:type="dxa" w:w="1704"/>
            <w:vAlign w:val="center"/>
          </w:tcPr>
          <w:p>
            <w:r/>
            <w:r>
              <w:rPr>
                <w:b w:val="0"/>
                <w:sz w:val="20"/>
              </w:rPr>
              <w:t>resolution information may remain only in an individual incident</w:t>
            </w:r>
          </w:p>
        </w:tc>
        <w:tc>
          <w:tcPr>
            <w:tcW w:type="dxa" w:w="1704"/>
            <w:vAlign w:val="center"/>
          </w:tcPr>
          <w:p>
            <w:r/>
            <w:r>
              <w:rPr>
                <w:b w:val="0"/>
                <w:sz w:val="20"/>
              </w:rPr>
              <w:t>knowledge creation is not consistently connected to incident resolution</w:t>
            </w:r>
          </w:p>
        </w:tc>
        <w:tc>
          <w:tcPr>
            <w:tcW w:type="dxa" w:w="1704"/>
            <w:vAlign w:val="center"/>
          </w:tcPr>
          <w:p>
            <w:r/>
            <w:r>
              <w:rPr>
                <w:b w:val="0"/>
                <w:sz w:val="20"/>
              </w:rPr>
              <w:t>repeated effort and slower future resolution</w:t>
            </w:r>
          </w:p>
        </w:tc>
      </w:tr>
      <w:tr>
        <w:tc>
          <w:tcPr>
            <w:tcW w:type="dxa" w:w="1704"/>
            <w:vAlign w:val="center"/>
          </w:tcPr>
          <w:p>
            <w:r/>
            <w:r>
              <w:rPr>
                <w:b w:val="0"/>
                <w:sz w:val="20"/>
              </w:rPr>
              <w:t>PS-5</w:t>
            </w:r>
          </w:p>
        </w:tc>
        <w:tc>
          <w:tcPr>
            <w:tcW w:type="dxa" w:w="1704"/>
            <w:vAlign w:val="center"/>
          </w:tcPr>
          <w:p>
            <w:r/>
            <w:r>
              <w:rPr>
                <w:b w:val="0"/>
                <w:sz w:val="20"/>
              </w:rPr>
              <w:t>Service manager / support lead</w:t>
            </w:r>
          </w:p>
        </w:tc>
        <w:tc>
          <w:tcPr>
            <w:tcW w:type="dxa" w:w="1704"/>
            <w:vAlign w:val="center"/>
          </w:tcPr>
          <w:p>
            <w:r/>
            <w:r>
              <w:rPr>
                <w:b w:val="0"/>
                <w:sz w:val="20"/>
              </w:rPr>
              <w:t>monitor service performance throughout the incident lifecycle</w:t>
            </w:r>
          </w:p>
        </w:tc>
        <w:tc>
          <w:tcPr>
            <w:tcW w:type="dxa" w:w="1704"/>
            <w:vAlign w:val="center"/>
          </w:tcPr>
          <w:p>
            <w:r/>
            <w:r>
              <w:rPr>
                <w:b w:val="0"/>
                <w:sz w:val="20"/>
              </w:rPr>
              <w:t>SLA status and related-record outcomes may be difficult to verify together</w:t>
            </w:r>
          </w:p>
        </w:tc>
        <w:tc>
          <w:tcPr>
            <w:tcW w:type="dxa" w:w="1704"/>
            <w:vAlign w:val="center"/>
          </w:tcPr>
          <w:p>
            <w:r/>
            <w:r>
              <w:rPr>
                <w:b w:val="0"/>
                <w:sz w:val="20"/>
              </w:rPr>
              <w:t>incident, child incident, change, knowledge and SLA records are separate but related</w:t>
            </w:r>
          </w:p>
        </w:tc>
        <w:tc>
          <w:tcPr>
            <w:tcW w:type="dxa" w:w="1704"/>
            <w:vAlign w:val="center"/>
          </w:tcPr>
          <w:p>
            <w:r/>
            <w:r>
              <w:rPr>
                <w:b w:val="0"/>
                <w:sz w:val="20"/>
              </w:rPr>
              <w:t>limited visibility into compliance and end-to-end process quality</w:t>
            </w:r>
          </w:p>
        </w:tc>
      </w:tr>
    </w:tbl>
    <w:p/>
    <w:p>
      <w:pPr>
        <w:pStyle w:val="Heading2"/>
      </w:pPr>
      <w:r>
        <w:t>Consolidated Design Problem</w:t>
      </w:r>
    </w:p>
    <w:p>
      <w:r>
        <w:t>How might we create a structured ServiceNow incident lifecycle that helps Service Desk agents capture and classify incidents, escalate them to Level 2, integrate emergency changes, manage child incidents, document cause and resolution, create reusable knowledge, and verify SLA and lifecycle outcomes from connected records?</w:t>
      </w:r>
    </w:p>
    <w:p>
      <w:r>
        <w:t>Project Outcome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Area</w:t>
            </w:r>
          </w:p>
        </w:tc>
        <w:tc>
          <w:tcPr>
            <w:tcW w:type="dxa" w:w="5112"/>
            <w:vAlign w:val="center"/>
            <w:shd w:fill="D9EAF7"/>
          </w:tcPr>
          <w:p>
            <w:r/>
            <w:r>
              <w:rPr>
                <w:b/>
                <w:sz w:val="20"/>
              </w:rPr>
              <w:t>Expected Outcome</w:t>
            </w:r>
          </w:p>
        </w:tc>
      </w:tr>
      <w:tr>
        <w:tc>
          <w:tcPr>
            <w:tcW w:type="dxa" w:w="5112"/>
            <w:vAlign w:val="center"/>
          </w:tcPr>
          <w:p>
            <w:r/>
            <w:r>
              <w:rPr>
                <w:b w:val="0"/>
                <w:sz w:val="20"/>
              </w:rPr>
              <w:t>Incident Management</w:t>
            </w:r>
          </w:p>
        </w:tc>
        <w:tc>
          <w:tcPr>
            <w:tcW w:type="dxa" w:w="5112"/>
            <w:vAlign w:val="center"/>
          </w:tcPr>
          <w:p>
            <w:r/>
            <w:r>
              <w:rPr>
                <w:b w:val="0"/>
                <w:sz w:val="20"/>
              </w:rPr>
              <w:t>End-to-end incident creation, classification, escalation, on-hold handling and resolution.</w:t>
            </w:r>
          </w:p>
        </w:tc>
      </w:tr>
      <w:tr>
        <w:tc>
          <w:tcPr>
            <w:tcW w:type="dxa" w:w="5112"/>
            <w:vAlign w:val="center"/>
          </w:tcPr>
          <w:p>
            <w:r/>
            <w:r>
              <w:rPr>
                <w:b w:val="0"/>
                <w:sz w:val="20"/>
              </w:rPr>
              <w:t>Change Integration</w:t>
            </w:r>
          </w:p>
        </w:tc>
        <w:tc>
          <w:tcPr>
            <w:tcW w:type="dxa" w:w="5112"/>
            <w:vAlign w:val="center"/>
          </w:tcPr>
          <w:p>
            <w:r/>
            <w:r>
              <w:rPr>
                <w:b w:val="0"/>
                <w:sz w:val="20"/>
              </w:rPr>
              <w:t>Emergency change activity linked to the incident and reflected in the audit trail.</w:t>
            </w:r>
          </w:p>
        </w:tc>
      </w:tr>
      <w:tr>
        <w:tc>
          <w:tcPr>
            <w:tcW w:type="dxa" w:w="5112"/>
            <w:vAlign w:val="center"/>
          </w:tcPr>
          <w:p>
            <w:r/>
            <w:r>
              <w:rPr>
                <w:b w:val="0"/>
                <w:sz w:val="20"/>
              </w:rPr>
              <w:t>Knowledge Management</w:t>
            </w:r>
          </w:p>
        </w:tc>
        <w:tc>
          <w:tcPr>
            <w:tcW w:type="dxa" w:w="5112"/>
            <w:vAlign w:val="center"/>
          </w:tcPr>
          <w:p>
            <w:r/>
            <w:r>
              <w:rPr>
                <w:b w:val="0"/>
                <w:sz w:val="20"/>
              </w:rPr>
              <w:t>Validated resolution converted into a reusable knowledge article.</w:t>
            </w:r>
          </w:p>
        </w:tc>
      </w:tr>
      <w:tr>
        <w:tc>
          <w:tcPr>
            <w:tcW w:type="dxa" w:w="5112"/>
            <w:vAlign w:val="center"/>
          </w:tcPr>
          <w:p>
            <w:r/>
            <w:r>
              <w:rPr>
                <w:b w:val="0"/>
                <w:sz w:val="20"/>
              </w:rPr>
              <w:t>Child Incidents</w:t>
            </w:r>
          </w:p>
        </w:tc>
        <w:tc>
          <w:tcPr>
            <w:tcW w:type="dxa" w:w="5112"/>
            <w:vAlign w:val="center"/>
          </w:tcPr>
          <w:p>
            <w:r/>
            <w:r>
              <w:rPr>
                <w:b w:val="0"/>
                <w:sz w:val="20"/>
              </w:rPr>
              <w:t>Child incident created, tracked and resolved in relation to the parent incident.</w:t>
            </w:r>
          </w:p>
        </w:tc>
      </w:tr>
      <w:tr>
        <w:tc>
          <w:tcPr>
            <w:tcW w:type="dxa" w:w="5112"/>
            <w:vAlign w:val="center"/>
          </w:tcPr>
          <w:p>
            <w:r/>
            <w:r>
              <w:rPr>
                <w:b w:val="0"/>
                <w:sz w:val="20"/>
              </w:rPr>
              <w:t>SLA Tracking</w:t>
            </w:r>
          </w:p>
        </w:tc>
        <w:tc>
          <w:tcPr>
            <w:tcW w:type="dxa" w:w="5112"/>
            <w:vAlign w:val="center"/>
          </w:tcPr>
          <w:p>
            <w:r/>
            <w:r>
              <w:rPr>
                <w:b w:val="0"/>
                <w:sz w:val="20"/>
              </w:rPr>
              <w:t>Response and resolution SLA information visible during the lifecycle.</w:t>
            </w:r>
          </w:p>
        </w:tc>
      </w:tr>
      <w:tr>
        <w:tc>
          <w:tcPr>
            <w:tcW w:type="dxa" w:w="5112"/>
            <w:vAlign w:val="center"/>
          </w:tcPr>
          <w:p>
            <w:r/>
            <w:r>
              <w:rPr>
                <w:b w:val="0"/>
                <w:sz w:val="20"/>
              </w:rPr>
              <w:t>Validation</w:t>
            </w:r>
          </w:p>
        </w:tc>
        <w:tc>
          <w:tcPr>
            <w:tcW w:type="dxa" w:w="5112"/>
            <w:vAlign w:val="center"/>
          </w:tcPr>
          <w:p>
            <w:r/>
            <w:r>
              <w:rPr>
                <w:b w:val="0"/>
                <w:sz w:val="20"/>
              </w:rPr>
              <w:t>Final checks confirm parent/child states, activity, change linkage, knowledge creation and SLA visibility.</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