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Anti-Harassment and Non-Discrimination Policy</w:t>
      </w:r>
    </w:p>
    <w:p>
      <w:pPr>
        <w:pStyle w:val="Heading2"/>
      </w:pPr>
      <w:r>
        <w:t>Policy Statement</w:t>
      </w:r>
    </w:p>
    <w:p>
      <w:r>
        <w:t>Contoso Corp prohibits discrimination or harassment based on race, color, religion, sex, national origin, age, disability, sexual orientation, gender identity, or any other status protected by applicable law.</w:t>
      </w:r>
    </w:p>
    <w:p>
      <w:pPr>
        <w:pStyle w:val="Heading2"/>
      </w:pPr>
      <w:r>
        <w:t>Reporting Process</w:t>
      </w:r>
    </w:p>
    <w:p>
      <w:r>
        <w:t>Employees who experience or witness harassment should report it to their manager, HR Business Partner, or the confidential Ethics Hotline immediately. Reports are investigated within 10 business days.</w:t>
      </w:r>
    </w:p>
    <w:p>
      <w:pPr>
        <w:pStyle w:val="Heading2"/>
      </w:pPr>
      <w:r>
        <w:t>Non-Retaliation</w:t>
      </w:r>
    </w:p>
    <w:p>
      <w:r>
        <w:t>Contoso Corp strictly prohibits retaliation against anyone who reports a concern in good faith or participates in an investigation.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