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Referral Program</w:t>
      </w:r>
    </w:p>
    <w:p>
      <w:pPr>
        <w:pStyle w:val="Heading2"/>
      </w:pPr>
      <w:r>
        <w:t>Referral Bonus Amounts</w:t>
      </w:r>
    </w:p>
    <w:p>
      <w:r>
        <w:t>Employees who refer a successful candidate for a standard role receive a $1,500 referral bonus. Referrals for hard-to-fill engineering or leadership roles earn a $3,000 bonus.</w:t>
      </w:r>
    </w:p>
    <w:p>
      <w:pPr>
        <w:pStyle w:val="Heading2"/>
      </w:pPr>
      <w:r>
        <w:t>Payout Timing</w:t>
      </w:r>
    </w:p>
    <w:p>
      <w:r>
        <w:t>Referral bonuses are paid in two installments: 50% after the referred employee's 90th day, and the remaining 50% after their 6-month anniversary, provided both employees remain active.</w:t>
      </w:r>
    </w:p>
    <w:p>
      <w:pPr>
        <w:pStyle w:val="Heading2"/>
      </w:pPr>
      <w:r>
        <w:t>Eligibility</w:t>
      </w:r>
    </w:p>
    <w:p>
      <w:r>
        <w:t>All active full-time employees are eligible to refer candidates, except employees on the Talent Acquisition team and hiring managers referring into their own open requisitions.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