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Review Process</w:t>
      </w:r>
    </w:p>
    <w:p>
      <w:pPr>
        <w:pStyle w:val="Heading2"/>
      </w:pPr>
      <w:r>
        <w:t>Review Cadence</w:t>
      </w:r>
    </w:p>
    <w:p>
      <w:r>
        <w:t>Contoso Corp conducts formal performance reviews twice per year: a mid-year check-in in June and an annual review in December that informs compensation decisions.</w:t>
      </w:r>
    </w:p>
    <w:p>
      <w:pPr>
        <w:pStyle w:val="Heading2"/>
      </w:pPr>
      <w:r>
        <w:t>Rating Scale</w:t>
      </w:r>
    </w:p>
    <w:p>
      <w:r>
        <w:t>Employees are rated on a 4-point scale: Exceeds Expectations, Meets Expectations, Partially Meets Expectations, and Does Not Meet Expectations.</w:t>
      </w:r>
    </w:p>
    <w:p>
      <w:pPr>
        <w:pStyle w:val="Heading2"/>
      </w:pPr>
      <w:r>
        <w:t>Calibration</w:t>
      </w:r>
    </w:p>
    <w:p>
      <w:r>
        <w:t>Manager ratings go through a cross-team calibration session before being finalized, to ensure consistent application of the rating scale across departments.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