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IT Acceptable Use Policy</w:t>
      </w:r>
    </w:p>
    <w:p>
      <w:pPr>
        <w:pStyle w:val="Heading2"/>
      </w:pPr>
      <w:r>
        <w:t>Company Devices</w:t>
      </w:r>
    </w:p>
    <w:p>
      <w:r>
        <w:t>Company-issued laptops and phones are for business use, with incidental personal use permitted as long as it does not interfere with work or violate other policies (for example, incidental personal use must not involve illegal content or excessive personal streaming that degrades network performance for others).</w:t>
      </w:r>
    </w:p>
    <w:p>
      <w:pPr>
        <w:pStyle w:val="Heading2"/>
      </w:pPr>
      <w:r>
        <w:t>Prohibited Activity</w:t>
      </w:r>
    </w:p>
    <w:p>
      <w:r>
        <w:t>Employees may not install unauthorized software, disable endpoint security tools (antivirus, disk encryption, mobile device management), or use company systems to access illegal content. Violations may result in immediate loss of system access pending investigation, and repeated or willful violations are grounds for termination even on a first offense if the violation is severe enough (for example, deliberately disabling encryption to exfiltrate confidential data).</w:t>
      </w:r>
    </w:p>
    <w:p>
      <w:pPr>
        <w:pStyle w:val="Heading2"/>
      </w:pPr>
      <w:r>
        <w:t>Password Requirements</w:t>
      </w:r>
    </w:p>
    <w:p>
      <w:r>
        <w:t>All Contoso accounts require multi-factor authentication and a password of at least 14 characters, rotated every 180 days. Password reuse across the last 10 passwords is blocked by the identity system, and passwords found in a known public breach database are automatically rejected at creation time regardless of how they otherwise score on length and complexity.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