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Acceptable Use Policy</w:t>
      </w:r>
    </w:p>
    <w:p>
      <w:pPr>
        <w:pStyle w:val="Heading2"/>
      </w:pPr>
      <w:r>
        <w:t>Company Devices</w:t>
      </w:r>
    </w:p>
    <w:p>
      <w:r>
        <w:t>Company-issued laptops and phones are for business use, with incidental personal use permitted as long as it does not interfere with work or violate other policies (for example, incidental personal use must not involve illegal content or excessive personal streaming that degrades network performance for others).</w:t>
      </w:r>
    </w:p>
    <w:p>
      <w:pPr>
        <w:pStyle w:val="Heading2"/>
      </w:pPr>
      <w:r>
        <w:t>Prohibited Activity</w:t>
      </w:r>
    </w:p>
    <w:p>
      <w:r>
        <w:t>Employees may not install unauthorized software, disable endpoint security tools (antivirus, disk encryption, mobile device management), or use company systems to access illegal content. Violations may result in immediate loss of system access pending investigation, and repeated or willful violations are grounds for termination even on a first offense if the violation is severe enough (for example, deliberately disabling encryption to exfiltrate confidential data).</w:t>
      </w:r>
    </w:p>
    <w:p>
      <w:pPr>
        <w:pStyle w:val="Heading2"/>
      </w:pPr>
      <w:r>
        <w:t>Password Requirements</w:t>
      </w:r>
    </w:p>
    <w:p>
      <w:r>
        <w:t>All Contoso accounts require multi-factor authentication and a password of at least 14 characters, rotated every 180 days. Password reuse across the last 10 passwords is blocked by the identity system, and passwords found in a known public breach database are automatically rejected at creation time regardless of how they otherwise score on length and complexity.</w:t>
      </w:r>
    </w:p>
    <w:p>
      <w:pPr>
        <w:pStyle w:val="Heading2"/>
      </w:pPr>
      <w:r>
        <w:t>Bring Your Own Device (BYOD)</w:t>
      </w:r>
    </w:p>
    <w:p>
      <w:r>
        <w:t>Employees may access company email and calendar from a personal phone through the approved mobile management app, which enforces a device passcode and allows Contoso Corp to remotely wipe only the company data partition, not the entire personal device, if the phone is lost or the employee departs.</w:t>
      </w:r>
    </w:p>
    <w:p>
      <w:r>
        <w:t>Personal devices may not be used to access systems containing Confidential data (as defined in the Data Security and Confidentiality Policy); that level of access is restricted to company-issued and company-managed devices only.</w:t>
      </w:r>
    </w:p>
    <w:p>
      <w:pPr>
        <w:pStyle w:val="Heading2"/>
      </w:pPr>
      <w:r>
        <w:t>Generative AI Tool Usage</w:t>
      </w:r>
    </w:p>
    <w:p>
      <w:r>
        <w:t>Employees may use approved generative AI tools for drafting and research, but must not paste Confidential or Internal data (customer information, unreleased financials, source code) into any AI tool that is not on the IT-approved list, since many public AI tools retain submitted input for model training by default.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