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Security and Confidentiality Policy</w:t>
      </w:r>
    </w:p>
    <w:p>
      <w:pPr>
        <w:pStyle w:val="Heading2"/>
      </w:pPr>
      <w:r>
        <w:t>Data Classification</w:t>
      </w:r>
    </w:p>
    <w:p>
      <w:r>
        <w:t>Contoso Corp classifies data into three tiers: Public, Internal, and Confidential. Customer PII and financial records are always classified Confidential, regardless of which system they are stored in.</w:t>
      </w:r>
    </w:p>
    <w:p>
      <w:pPr>
        <w:pStyle w:val="Heading2"/>
      </w:pPr>
      <w:r>
        <w:t>Handling Confidential Data</w:t>
      </w:r>
    </w:p>
    <w:p>
      <w:r>
        <w:t>Confidential data may not be stored on personal devices, personal cloud storage, or transmitted over unencrypted channels. Confidential data leaving the company (e.g., shared with an approved third-party vendor) requires a signed data processing agreement on file with Legal.</w:t>
      </w:r>
    </w:p>
    <w:p>
      <w:pPr>
        <w:pStyle w:val="Heading2"/>
      </w:pPr>
      <w:r>
        <w:t>Incident Reporting</w:t>
      </w:r>
    </w:p>
    <w:p>
      <w:r>
        <w:t>Suspected data breaches must be reported to security@contoso-corp.example within 1 hour of discovery, per the Incident Response Runbook. Delayed reporting can affect Contoso Corp's ability to meet legal breach-notification deadlines, so timeliness matters more than certainty — report suspected incidents even before they are confirmed.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