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Security and Confidentiality Policy</w:t>
      </w:r>
    </w:p>
    <w:p>
      <w:pPr>
        <w:pStyle w:val="Heading2"/>
      </w:pPr>
      <w:r>
        <w:t>Data Classification</w:t>
      </w:r>
    </w:p>
    <w:p>
      <w:r>
        <w:t>Contoso Corp classifies data into three tiers: Public, Internal, and Confidential. Customer PII and financial records are always classified Confidential, regardless of which system they are stored in, and this classification travels with the data even if it is copied or exported into a different tool.</w:t>
      </w:r>
    </w:p>
    <w:p>
      <w:pPr>
        <w:pStyle w:val="Heading2"/>
      </w:pPr>
      <w:r>
        <w:t>Handling Confidential Data</w:t>
      </w:r>
    </w:p>
    <w:p>
      <w:r>
        <w:t>Confidential data may not be stored on personal devices, personal cloud storage, or transmitted over unencrypted channels. Confidential data leaving the company (e.g., shared with an approved third-party vendor) requires a signed data processing agreement on file with Legal before the first transfer occurs, not retroactively after data has already been shared.</w:t>
      </w:r>
    </w:p>
    <w:p>
      <w:pPr>
        <w:pStyle w:val="Heading2"/>
      </w:pPr>
      <w:r>
        <w:t>Incident Reporting</w:t>
      </w:r>
    </w:p>
    <w:p>
      <w:r>
        <w:t>Suspected data breaches must be reported to security@contoso-corp.example within 1 hour of discovery, per the Incident Response Runbook. Delayed reporting can affect Contoso Corp's ability to meet legal breach-notification deadlines, so timeliness matters more than certainty — report suspected incidents even before they are confirmed, since the Security team, not the reporting employee, is responsible for determining whether a suspected incident is a genuine breach.</w:t>
      </w:r>
    </w:p>
    <w:p>
      <w:pPr>
        <w:pStyle w:val="Heading2"/>
      </w:pPr>
      <w:r>
        <w:t>Vendor Data Sharing</w:t>
      </w:r>
    </w:p>
    <w:p>
      <w:r>
        <w:t>Sharing Confidential data with a third-party vendor requires a signed Data Processing Agreement reviewed by Legal, and the vendor must be added to Contoso Corp's approved vendor list before any data is transferred; this applies even to a well-known, reputable vendor, since the requirement is about the specific agreement in place, not the vendor's general reputation.</w:t>
      </w:r>
    </w:p>
    <w:p>
      <w:pPr>
        <w:pStyle w:val="Heading2"/>
      </w:pPr>
      <w:r>
        <w:t>Post-Employment Confidentiality</w:t>
      </w:r>
    </w:p>
    <w:p>
      <w:r>
        <w:t>The confidentiality obligations in this policy continue after an employee leaves Contoso Corp, indefinitely for trade secrets and for a minimum of 3 years for other Confidential data, as outlined in the confidentiality agreement every employee signs at hire. Former employees remain bound by this even if their specific employment agreement is silent on the point, since this policy applies independently of the individual agreement.</w:t>
      </w:r>
    </w:p>
    <w:p>
      <w:pPr>
        <w:pStyle w:val="Heading2"/>
      </w:pPr>
      <w:r>
        <w:t>Frequently Asked Questions</w:t>
      </w:r>
    </w:p>
    <w:p>
      <w:r>
        <w:t>Can I keep a copy of a presentation I made for a client after I leave Contoso Corp? Only the parts that do not contain Confidential client or company data; a generic template or your own individually-authored analysis approach may be retained if it does not disclose confidential specifics, but the underlying client data itself must not be retained.</w:t>
      </w:r>
    </w:p>
    <w:p>
      <w:r>
        <w:t>Does this policy apply to data about Contoso Corp employees themselves, not just customers? Yes — employee PII (social security numbers, compensation, medical information tied to a leave request) is classified Confidential under this policy exactly the same as customer data, and is subject to the same handling and incident-reporting rules.</w:t>
      </w:r>
    </w:p>
    <w:p>
      <w:pPr>
        <w:pStyle w:val="Heading2"/>
      </w:pPr>
      <w:r>
        <w:t>Key Definitions</w:t>
      </w:r>
    </w:p>
    <w:p>
      <w:r>
        <w:t>'Confidential data' means data classified as such under the three-tier system described above (Public, Internal, Confidential). A 'data processing agreement' is a signed contract with a vendor governing how they may handle Confidential data shared with them, required before any such sharing occurs.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