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NSIC EPSILON 2026</w:t>
        <w:br w:type="textWrapping"/>
        <w:t xml:space="preserve">(</w:t>
      </w:r>
      <w:r w:rsidDel="00000000" w:rsidR="00000000" w:rsidRPr="00000000">
        <w:rPr>
          <w:rFonts w:ascii="Times New Roman" w:cs="Times New Roman" w:eastAsia="Times New Roman" w:hAnsi="Times New Roman"/>
          <w:b w:val="1"/>
          <w:bCs w:val="1"/>
          <w:i w:val="1"/>
          <w:iCs w:val="1"/>
          <w:sz w:val="24"/>
          <w:szCs w:val="24"/>
          <w:rtl w:val="0"/>
        </w:rPr>
        <w:t xml:space="preserve">National Statistics Infographics Competition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2">
      <w:pPr>
        <w:spacing w:after="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TEMA</w:t>
        <w:br w:type="textWrapping"/>
        <w:t xml:space="preserve">"</w:t>
      </w:r>
      <w:r w:rsidDel="00000000" w:rsidR="00000000" w:rsidRPr="00000000">
        <w:rPr>
          <w:rFonts w:ascii="Times New Roman" w:cs="Times New Roman" w:eastAsia="Times New Roman" w:hAnsi="Times New Roman"/>
          <w:b w:val="1"/>
          <w:bCs w:val="1"/>
          <w:i w:val="1"/>
          <w:iCs w:val="1"/>
          <w:sz w:val="24"/>
          <w:szCs w:val="24"/>
          <w:rtl w:val="0"/>
        </w:rPr>
        <w:t xml:space="preserve">Deciphering Economic Data, Driving Inclusive Growth</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(Mengurai Data Ekonomi, Mendorong Pertumbuhan Inklusif)</w:t>
      </w:r>
    </w:p>
    <w:p w:rsidR="00000000" w:rsidDel="00000000" w:rsidP="00000000" w:rsidRDefault="00000000" w:rsidRPr="00000000" w14:paraId="00000003">
      <w:pPr>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NARASI</w:t>
        <w:br w:type="textWrapping"/>
        <w:tab/>
      </w:r>
      <w:r w:rsidDel="00000000" w:rsidR="00000000" w:rsidRPr="00000000">
        <w:rPr>
          <w:rFonts w:ascii="Times New Roman" w:cs="Times New Roman" w:eastAsia="Times New Roman" w:hAnsi="Times New Roman"/>
          <w:sz w:val="24"/>
          <w:szCs w:val="24"/>
          <w:rtl w:val="0"/>
        </w:rPr>
        <w:t xml:space="preserve">Perekonomian adalah pilar utama pembangunan bangsa. Di balik cita-cita Indonesia Emas 2045, terdapat kebutuhan akan sistem ekonomi yang adil, merata, dan berkelanjutan bagi seluruh masyarakat. Namun faktanya, kesenjangan ekonomi masih menjadi tantangan serius, mulai dari ketimpangan pendapatan antarwilayah, terbatasnya lapangan kerja formal di berbagai daerah, hingga akses permodalan UMKM yang masih dipengaruhi oleh latar belakang sosial ekonomi. Data statistik menjadi alat penting untuk memahami kondisi perekonomian yang sebenarnya, memetakan masalah ketimpangan, dan merancang strategi kebijakan yang tepat sasaran. </w:t>
      </w:r>
    </w:p>
    <w:p w:rsidR="00000000" w:rsidDel="00000000" w:rsidP="00000000" w:rsidRDefault="00000000" w:rsidRPr="00000000" w14:paraId="00000004">
      <w:pPr>
        <w:spacing w:after="2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angka dalam statistik ekonomi menyimpan cerita yang lebih dalam. Angka pengangguran dan kemiskinan yang timpang di suatu provinsi bukan hanya angka teknis, tetapi juga mencerminkan keterbatasan lapangan kerja, beban hidup masyarakat, dan rendahnya peluang kesejahteraan. Begitu pula pertumbuhan ekonomi yang tinggi di suatu daerah tidak selalu menjamin pemerataan kesejahteraan jika tidak dikelola secara efektif dan inklusif. Terlebih bagi kelompok masyarakat yang masih memiliki keterbatasan akses terhadap pekerjaan yang layak, perlindungan sosial, maupun pembiayaan usaha. Semua ini adalah persoalan nyata yang perlu ditunjukkan secara terbuka melalui pendekatan visual berbasis data. </w:t>
      </w:r>
    </w:p>
    <w:p w:rsidR="00000000" w:rsidDel="00000000" w:rsidP="00000000" w:rsidRDefault="00000000" w:rsidRPr="00000000" w14:paraId="00000005">
      <w:pPr>
        <w:spacing w:after="2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Infografis hadir bukan sekadar sebagai media estetika, tetapi sebagai jembatan antara data perekonomian dan kesadaran publik. Dengan mengubah data yang rumit menjadi visual yang komunikatif, infografis mampu menghidupkan narasi di balik angka, misalnya mengenai pekerja yang menghadapi kerentanan ekonomi, tentang pelaku usaha mikro yang belum berkembang secara optimal akibat keterbatasan akses terhadap layanan keuangan digital, serta mengenai ketimpangan upah berbasis gender yang masih terjadi. Infografis juga dapat memetakan keterkaitan antara faktor-faktor sosial, regulasi, dan keuangan yang memengaruhi keberlangsungan usaha seseorang, sekaligus menjadi alat refleksi bagi pembuat kebijakan, pelaku industri, dan masyarakat luas. </w:t>
      </w:r>
    </w:p>
    <w:p w:rsidR="00000000" w:rsidDel="00000000" w:rsidP="00000000" w:rsidRDefault="00000000" w:rsidRPr="00000000" w14:paraId="00000006">
      <w:pPr>
        <w:spacing w:after="2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NSIC, para peserta diajak untuk mengeksplorasi persoalan-persoalan mendasar dalam ekosistem ekonomi Indonesia dengan pendekatan yang ilmiah, kritis, dan kreatif. Subtema yang diangkat memberikan ruang luas untuk menyajikan data secara multidimensi, mulai dari ketimpangan pertumbuhan ekonomi daerah, pengaruh inflasi terhadap daya beli, pemetaan penyaluran kredit UMKM, adopsi digitalisasi keuangan masyarakat, hingga keterkaitan antara kesejahteraan ekonomi masyarakat dengan struktur ketenagakerjaan. Kompetisi ini diharapkan dapat menjadi ruang di mana data tidak hanya menjadi informasi, tetapi juga menjadi suara yang mendorong perubahan, karena dari data kita belajar dan melalui infografis kita bertindak. </w:t>
      </w:r>
    </w:p>
    <w:p w:rsidR="00000000" w:rsidDel="00000000" w:rsidP="00000000" w:rsidRDefault="00000000" w:rsidRPr="00000000" w14:paraId="00000007">
      <w:pPr>
        <w:spacing w:after="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SUBTEMA</w:t>
      </w:r>
    </w:p>
    <w:p w:rsidR="00000000" w:rsidDel="00000000" w:rsidP="00000000" w:rsidRDefault="00000000" w:rsidRPr="00000000" w14:paraId="00000008">
      <w:pPr>
        <w:spacing w:after="2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pemaparan tersebut, maka didapatkan beberapa subtema yang dapat menjadi fokus pembahasan infografis, yaitu sebagai berikut: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Ketimpangan pertumbuhan ekonomi antarprovinsi dan keterkaitannya dengan Tingkat Pengangguran Terbuka (TPT) di Indonesia.</w:t>
      </w:r>
    </w:p>
    <w:p w:rsidR="00000000" w:rsidDel="00000000" w:rsidP="00000000" w:rsidRDefault="00000000" w:rsidRPr="00000000" w14:paraId="0000000A">
      <w:pPr>
        <w:spacing w:after="28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Subtema ini mengangkat persoalan pemerataan lapangan kerja dan hasil pembangunan ekonomi, yang masih menjadi tantangan serius. Peserta dapat mengkaji apakah pertumbuhan ekonomi yang tinggi berdampak signifikan terhadap penyerapan tenaga kerja dengan membandingkan PDRB di berbagai provinsi dan menghubungkannya dengan hasil statistik ketenagakerjaan. Infografis dapat menunjukkan wilayah-wilayah dengan pertumbuhan tinggi namun pengangguran tetap gigih, sebagai indikator kualitas pertumbuhan ekonomi. </w:t>
      </w:r>
    </w:p>
    <w:p w:rsidR="00000000" w:rsidDel="00000000" w:rsidP="00000000" w:rsidRDefault="00000000" w:rsidRPr="00000000" w14:paraId="0000000B">
      <w:pPr>
        <w:spacing w:after="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data: </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Produk Domestik Regional Bruto (PDRB) menurut Provinsi - Portal BPS </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Tingkat Pengangguran Terbuka (TPT) menurut Provinsi - Portal BPS </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Keadaan Ketenagakerjaan Indonesia (Sakernas) - Portal BPS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Pengaruh laju inflasi daerah terhadap capaian daya beli dan pengeluaran konsumsi penduduk pada kelompok masyarakat rentan.</w:t>
      </w:r>
    </w:p>
    <w:p w:rsidR="00000000" w:rsidDel="00000000" w:rsidP="00000000" w:rsidRDefault="00000000" w:rsidRPr="00000000" w14:paraId="00000011">
      <w:pPr>
        <w:spacing w:after="28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Subtema ini menyoroti bagaimana pergerakan harga barang dan jasa di tingkat pemerintah daerah memengaruhi kesejahteraan dan konsumsi masyarakat. Dengan membandingkan persentase laju Indeks Harga Konsumen (IHK) dengan indikator garis kemiskinan serta pengeluaran per kapita, peserta dapat mengungkap apakah stabilitas harga daerah sejalan dengan perlindungan daya beli. Analisis ini dapat memberikan gambaran tentang efektivitas pengendalian pasar dan keberpihakan kebijakan daerah terhadap sektor pemenuhan kebutuhan pokok. </w:t>
      </w:r>
    </w:p>
    <w:p w:rsidR="00000000" w:rsidDel="00000000" w:rsidP="00000000" w:rsidRDefault="00000000" w:rsidRPr="00000000" w14:paraId="00000012">
      <w:pPr>
        <w:spacing w:after="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data: </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Indeks Harga Konsumen dan Inflasi - Portal BPS </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Pengeluaran per Kapita  Disesuaikan (Metode Baru) Menurut Provinsi - Portal BPS </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Garis Kemiskinan Menurut Provinsi- Portal BPS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Ketersediaan pembiayaan KUR dan sebaran pelaku usaha mikro (UMKM) dalam sistem penguatan ekonomi daerah.</w:t>
      </w:r>
    </w:p>
    <w:p w:rsidR="00000000" w:rsidDel="00000000" w:rsidP="00000000" w:rsidRDefault="00000000" w:rsidRPr="00000000" w14:paraId="00000018">
      <w:pPr>
        <w:spacing w:after="28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Subtema ini mengangkat isu kesetaraan akses permodalan bagi pelaku usaha kecil. Peserta dapat menelusuri distribusi Kredit Usaha Rakyat (KUR) di Indonesia serta jumlah pelaku UMKM pada setiap provinsi. Dengan membandingkan kedua indikator tersebut, peserta dapat mengidentifikasi wilayah yang telah memperoleh dukungan pembiayaan yang memadai maupun wilayah yang masih memerlukan penguatan akses permodalan. Infografis dapat menunjukkan wilayah-wilayah yang masih tertinggal dalam hal inklusi keuangan dan mendorong kesadaran akan pentingnya akses modal yang adil bagi seluruh pelaku usaha.</w:t>
      </w:r>
    </w:p>
    <w:p w:rsidR="00000000" w:rsidDel="00000000" w:rsidP="00000000" w:rsidRDefault="00000000" w:rsidRPr="00000000" w14:paraId="00000019">
      <w:pPr>
        <w:spacing w:after="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data: </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Realisasi Penyaluran Kredit Usaha Rakyat (KUR) Menurut Provinsi - Portal KUR Pemerintah</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Perkembangan Data UMKM Non Pertanian (SIDT-UMKM) Menurut Provinsi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Kementerian UMKM RI</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Perbandingan tingkat adopsi digitalisasi keuangan (fintech/QRIS) dengan indeks literasi keuangan masyarakat di berbagai daerah.</w:t>
      </w:r>
    </w:p>
    <w:p w:rsidR="00000000" w:rsidDel="00000000" w:rsidP="00000000" w:rsidRDefault="00000000" w:rsidRPr="00000000" w14:paraId="0000001E">
      <w:pPr>
        <w:spacing w:after="28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Subtema ini menggali hubungan antara lingkungan teknologi keuangan dan tingkat pemahaman ekonomi masyarakat. Dengan membandingkan hasil volume transaksi digital dengan indeks literasi keuangan, kepemilikan rekening bank, dan akses internet di rumah tangga, peserta dapat menyampaikan sejauh mana kesiapan ekosistem keuangan digital mendukung aktivitas produktif masyarakat. </w:t>
      </w:r>
    </w:p>
    <w:p w:rsidR="00000000" w:rsidDel="00000000" w:rsidP="00000000" w:rsidRDefault="00000000" w:rsidRPr="00000000" w14:paraId="0000001F">
      <w:pPr>
        <w:spacing w:after="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data: </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Statistik Sistem Pembayaran dan Infrastruktur Pasar Keuangan (SPIP) – Bank Indonesia</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Survei Nasional Literasi dan Inklusi Keuangan (SNLIK) - Portal OJK </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Indeks Masyarakat Digital Indonesia - Portal Kemenkominfo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Keterkaitan kesejahteraan ekonomi masyarakat dengan struktur ketenagakerjaan di Indonesia.</w:t>
      </w:r>
    </w:p>
    <w:p w:rsidR="00000000" w:rsidDel="00000000" w:rsidP="00000000" w:rsidRDefault="00000000" w:rsidRPr="00000000" w14:paraId="00000024">
      <w:pPr>
        <w:spacing w:after="28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Subtema ini mengangkat hubungan antara kesejahteraan ekonomi masyarakat dan struktur ketenagakerjaan di berbagai provinsi di Indonesia. Peserta dapat menganalisis keterkaitan antara kondisi kesejahteraan masyarakat, rata-rata upah buruh, serta proporsi tenaga kerja formal untuk menggambarkan bagaimana kondisi ekonomi masyarakat berhubungan dengan struktur ketenagakerjaan di setiap daerah. Melalui analisis tersebut, peserta diharapkan mampu menyajikan gambaran mengenai ketimpangan kesejahteraan dan pasar tenaga kerja sebagai salah satu tantangan dalam mewujudkan pertumbuhan ekonomi yang inklusif. </w:t>
      </w:r>
    </w:p>
    <w:p w:rsidR="00000000" w:rsidDel="00000000" w:rsidP="00000000" w:rsidRDefault="00000000" w:rsidRPr="00000000" w14:paraId="00000025">
      <w:pPr>
        <w:spacing w:after="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data: </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Rata-rata Upah Buruh/Karyawan/Pegawai menurut Provinsi - Portal BPS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Persentase Tenaga Kerja Formal Menurut Provinsi – Portal BPS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Statistik Keadaan Sosial Ekonomi Nasional (Susenas) - Portal BPS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Pustaka</w:t>
      </w:r>
    </w:p>
    <w:p w:rsidR="00000000" w:rsidDel="00000000" w:rsidP="00000000" w:rsidRDefault="00000000" w:rsidRPr="00000000" w14:paraId="0000002B">
      <w:pPr>
        <w:spacing w:after="28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Badan Pusat Statistik. (2025). </w:t>
      </w:r>
      <w:r w:rsidDel="00000000" w:rsidR="00000000" w:rsidRPr="00000000">
        <w:rPr>
          <w:rFonts w:ascii="Times New Roman" w:cs="Times New Roman" w:eastAsia="Times New Roman" w:hAnsi="Times New Roman"/>
          <w:i w:val="1"/>
          <w:iCs w:val="1"/>
          <w:sz w:val="24"/>
          <w:szCs w:val="24"/>
          <w:rtl w:val="0"/>
        </w:rPr>
        <w:t xml:space="preserve">Laporan Keadaan Ketenagakerjaan Indonesia (Sakernas) 2024</w:t>
      </w:r>
      <w:r w:rsidDel="00000000" w:rsidR="00000000" w:rsidRPr="00000000">
        <w:rPr>
          <w:rFonts w:ascii="Times New Roman" w:cs="Times New Roman" w:eastAsia="Times New Roman" w:hAnsi="Times New Roman"/>
          <w:sz w:val="24"/>
          <w:szCs w:val="24"/>
          <w:rtl w:val="0"/>
        </w:rPr>
        <w:t xml:space="preserve">. Jakarta: Badan Pusat Statistik.</w:t>
      </w:r>
    </w:p>
    <w:p w:rsidR="00000000" w:rsidDel="00000000" w:rsidP="00000000" w:rsidRDefault="00000000" w:rsidRPr="00000000" w14:paraId="0000002C">
      <w:pPr>
        <w:spacing w:after="28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Badan Pusat Statistik. (2025). </w:t>
      </w:r>
      <w:r w:rsidDel="00000000" w:rsidR="00000000" w:rsidRPr="00000000">
        <w:rPr>
          <w:rFonts w:ascii="Times New Roman" w:cs="Times New Roman" w:eastAsia="Times New Roman" w:hAnsi="Times New Roman"/>
          <w:i w:val="1"/>
          <w:iCs w:val="1"/>
          <w:sz w:val="24"/>
          <w:szCs w:val="24"/>
          <w:rtl w:val="0"/>
        </w:rPr>
        <w:t xml:space="preserve">Produk Domestik Regional Bruto (PDRB) Provinsi di Indonesia</w:t>
      </w:r>
      <w:r w:rsidDel="00000000" w:rsidR="00000000" w:rsidRPr="00000000">
        <w:rPr>
          <w:rFonts w:ascii="Times New Roman" w:cs="Times New Roman" w:eastAsia="Times New Roman" w:hAnsi="Times New Roman"/>
          <w:sz w:val="24"/>
          <w:szCs w:val="24"/>
          <w:rtl w:val="0"/>
        </w:rPr>
        <w:t xml:space="preserve">. Jakarta: BPS RI.</w:t>
      </w:r>
    </w:p>
    <w:p w:rsidR="00000000" w:rsidDel="00000000" w:rsidP="00000000" w:rsidRDefault="00000000" w:rsidRPr="00000000" w14:paraId="0000002D">
      <w:pPr>
        <w:spacing w:after="280" w:line="360" w:lineRule="auto"/>
        <w:ind w:left="72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Bank Indonesia. (2026). </w:t>
      </w:r>
      <w:r w:rsidDel="00000000" w:rsidR="00000000" w:rsidRPr="00000000">
        <w:rPr>
          <w:rFonts w:ascii="Times New Roman" w:cs="Times New Roman" w:eastAsia="Times New Roman" w:hAnsi="Times New Roman"/>
          <w:i w:val="1"/>
          <w:iCs w:val="1"/>
          <w:sz w:val="24"/>
          <w:szCs w:val="24"/>
          <w:rtl w:val="0"/>
        </w:rPr>
        <w:t xml:space="preserve">Statistik Sistem Pembayaran dan Infrastruktur Pasar Keuangan (SPIP).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Jakarta: Bank Indonesia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E">
      <w:pPr>
        <w:spacing w:after="28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Kementerian Koordinator Bidang Perekonomian Republik Indonesia. (2025). </w:t>
      </w:r>
      <w:r w:rsidDel="00000000" w:rsidR="00000000" w:rsidRPr="00000000">
        <w:rPr>
          <w:rFonts w:ascii="Times New Roman" w:cs="Times New Roman" w:eastAsia="Times New Roman" w:hAnsi="Times New Roman"/>
          <w:i w:val="1"/>
          <w:iCs w:val="1"/>
          <w:sz w:val="24"/>
          <w:szCs w:val="24"/>
          <w:rtl w:val="0"/>
        </w:rPr>
        <w:t xml:space="preserve">Realisasi Penyaluran Kredit Usaha Rakyat (KUR)</w:t>
      </w:r>
      <w:r w:rsidDel="00000000" w:rsidR="00000000" w:rsidRPr="00000000">
        <w:rPr>
          <w:rFonts w:ascii="Times New Roman" w:cs="Times New Roman" w:eastAsia="Times New Roman" w:hAnsi="Times New Roman"/>
          <w:sz w:val="24"/>
          <w:szCs w:val="24"/>
          <w:rtl w:val="0"/>
        </w:rPr>
        <w:t xml:space="preserve">. Jakarta: Kementerian Koordinator Bidang Perekonomian Republik Indonesia.</w:t>
      </w:r>
    </w:p>
    <w:p w:rsidR="00000000" w:rsidDel="00000000" w:rsidP="00000000" w:rsidRDefault="00000000" w:rsidRPr="00000000" w14:paraId="0000002F">
      <w:pPr>
        <w:tabs>
          <w:tab w:val="left" w:leader="none" w:pos="567"/>
        </w:tabs>
        <w:spacing w:after="28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Kementerian Usaha Mikro, Kecil, dan Menengah Republik Indonesia. (2025). </w:t>
      </w:r>
      <w:r w:rsidDel="00000000" w:rsidR="00000000" w:rsidRPr="00000000">
        <w:rPr>
          <w:rFonts w:ascii="Times New Roman" w:cs="Times New Roman" w:eastAsia="Times New Roman" w:hAnsi="Times New Roman"/>
          <w:i w:val="1"/>
          <w:iCs w:val="1"/>
          <w:sz w:val="24"/>
          <w:szCs w:val="24"/>
          <w:rtl w:val="0"/>
        </w:rPr>
        <w:t xml:space="preserve">Perkembangan Data UMKM Non Pertanian Tahun 2024–2025 (SIDT-UMKM).</w:t>
      </w:r>
      <w:r w:rsidDel="00000000" w:rsidR="00000000" w:rsidRPr="00000000">
        <w:rPr>
          <w:rFonts w:ascii="Times New Roman" w:cs="Times New Roman" w:eastAsia="Times New Roman" w:hAnsi="Times New Roman"/>
          <w:sz w:val="24"/>
          <w:szCs w:val="24"/>
          <w:rtl w:val="0"/>
        </w:rPr>
        <w:t xml:space="preserve"> Jakarta: Kementerian Usaha Mikro, Kecil, dan Menengah Republik Indonesia.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09"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Otoritas Jasa Keuangan.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Survei Nasional Literasi dan Inklusi Keuangan (SNLIK) Tahun 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Otoritas Jasa Keuangan.</w:t>
      </w:r>
    </w:p>
    <w:p w:rsidR="00000000" w:rsidDel="00000000" w:rsidP="00000000" w:rsidRDefault="00000000" w:rsidRPr="00000000" w14:paraId="00000031">
      <w:pPr>
        <w:spacing w:after="280" w:line="36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701" w:top="1701" w:left="2268"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0"/>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62zcHrTZ9M2fj/ZoB0HRZnGYmg==">CgMxLjA4AHIhMTNrSHZaaEpVV2FrRW01MkJuV2NMUkVYU1ZxVXRvSVpo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