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01"/>
        <w:numPr>
          <w:ilvl w:val="0"/>
          <w:numId w:val="1"/>
        </w:numPr>
        <w:bidi w:val="0"/>
        <w:outlineLvl w:val="0"/>
        <w:rPr/>
      </w:pPr>
      <w:r>
        <w:rPr/>
        <w:t>UNIVERSIDAD TECNOLÓGICA DE QUERÉTARO</w:t>
      </w:r>
    </w:p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(UTEQ)</w:t>
      </w:r>
    </w:p>
    <w:p>
      <w:pPr>
        <w:pStyle w:val="Normal"/>
        <w:bidi w:val="0"/>
        <w:jc w:val="center"/>
        <w:rPr/>
      </w:pPr>
      <w:r>
        <w:rPr/>
        <w:t>Ingeniería en Desarrollo y Gestión de Software</w:t>
      </w:r>
    </w:p>
    <w:p>
      <w:pPr>
        <w:pStyle w:val="Heading203"/>
        <w:numPr>
          <w:ilvl w:val="2"/>
          <w:numId w:val="1"/>
        </w:numPr>
        <w:bidi w:val="0"/>
        <w:outlineLvl w:val="2"/>
        <w:rPr/>
      </w:pPr>
      <w:r>
        <w:rPr/>
        <w:t>Desarrollo para dispositivos inteligentes</w:t>
      </w:r>
    </w:p>
    <w:p>
      <w:pPr>
        <w:pStyle w:val="Heading203"/>
        <w:numPr>
          <w:ilvl w:val="2"/>
          <w:numId w:val="1"/>
        </w:numPr>
        <w:bidi w:val="0"/>
        <w:outlineLvl w:val="2"/>
        <w:rPr/>
      </w:pPr>
      <w:r>
        <w:rPr/>
        <w:t>Práctica 7: Evaluación de calidad de software mediante pruebas de caja negra (Black Box Testing)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Alumno: Ramírez Ramírez Elian Eduardo</w:t>
      </w:r>
    </w:p>
    <w:p>
      <w:pPr>
        <w:pStyle w:val="Normal"/>
        <w:bidi w:val="0"/>
        <w:jc w:val="center"/>
        <w:rPr/>
      </w:pPr>
      <w:r>
        <w:rPr/>
        <w:t>No. de matrícula: 2023371006</w:t>
      </w:r>
    </w:p>
    <w:p>
      <w:pPr>
        <w:pStyle w:val="Normal"/>
        <w:bidi w:val="0"/>
        <w:jc w:val="center"/>
        <w:rPr/>
      </w:pPr>
      <w:r>
        <w:rPr/>
        <w:t>Docente: MANUEL CONTRERAS CASTILLO</w:t>
      </w:r>
    </w:p>
    <w:p>
      <w:pPr>
        <w:pStyle w:val="Normal"/>
        <w:bidi w:val="0"/>
        <w:jc w:val="center"/>
        <w:rPr/>
      </w:pPr>
      <w:r>
        <w:rPr/>
        <w:t>Fecha de entrega: 24 de octubre de 2026</w:t>
      </w:r>
      <w:r>
        <w:br w:type="page"/>
      </w:r>
    </w:p>
    <w:p>
      <w:pPr>
        <w:pStyle w:val="Normal"/>
        <w:bidi w:val="0"/>
        <w:rPr/>
      </w:pPr>
      <w:r>
        <w:rPr/>
      </w:r>
      <w:r>
        <w:br w:type="page"/>
      </w:r>
    </w:p>
    <w:p>
      <w:pPr>
        <w:pStyle w:val="Normal"/>
        <w:bidi w:val="0"/>
        <w:rPr/>
      </w:pPr>
      <w:r>
        <w:rPr/>
      </w:r>
    </w:p>
    <w:p>
      <w:pPr>
        <w:pStyle w:val="Heading201"/>
        <w:numPr>
          <w:ilvl w:val="0"/>
          <w:numId w:val="1"/>
        </w:numPr>
        <w:bidi w:val="0"/>
        <w:outlineLvl w:val="0"/>
        <w:rPr/>
      </w:pPr>
      <w:r>
        <w:rPr/>
        <w:t>Informe de implementación — Práctica 7: Evaluación de calidad de software mediante pruebas de caja negra (Black Box Testing)</w:t>
      </w:r>
    </w:p>
    <w:p>
      <w:pPr>
        <w:pStyle w:val="Normal"/>
        <w:bidi w:val="0"/>
        <w:rPr/>
      </w:pPr>
      <w:r>
        <w:rPr/>
        <w:t xml:space="preserve">Proyecto evaluado: Labandera — sitio web de noticias (frontend SPA React + Vite) con API REST (backend Express + Prisma + PostgreSQL), alojado en servidor. Fecha: 2026-10-23 Documento de referencia: </w:t>
      </w:r>
      <w:r>
        <w:rPr>
          <w:sz w:val="18"/>
        </w:rPr>
        <w:t>docs/practica7-blackbox.md</w:t>
      </w:r>
      <w:r>
        <w:rPr/>
        <w:t xml:space="preserve"> (plan detallado con matriz completa de casos de prueba).</w:t>
      </w:r>
    </w:p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1. Objetivo del informe</w:t>
      </w:r>
    </w:p>
    <w:p>
      <w:pPr>
        <w:pStyle w:val="Normal"/>
        <w:bidi w:val="0"/>
        <w:rPr/>
      </w:pPr>
      <w:r>
        <w:rPr/>
        <w:t>Determinar si la Práctica 7 puede implementarse sobre el proyecto Labandera y describir cómo implementarla: qué funcionalidades se prueban, qué requisitos verificables se definen, qué evidencia se produce y cómo se emite el veredicto de aceptación/rechazo de la entrega.</w:t>
      </w:r>
    </w:p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2. Análisis de la práctica</w:t>
      </w:r>
    </w:p>
    <w:p>
      <w:pPr>
        <w:pStyle w:val="Normal"/>
        <w:bidi w:val="0"/>
        <w:rPr/>
      </w:pPr>
      <w:r>
        <w:rPr/>
        <w:t>La práctica exige evaluar el software solo por su comportamiento observable (entradas → salidas/estados), sin inspeccionar el código interno. El método de 8 pasos se aplica así: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Inventario de funcionalidades → se levantó a partir de las rutas del backend (</w:t>
      </w:r>
      <w:r>
        <w:rPr>
          <w:sz w:val="18"/>
        </w:rPr>
        <w:t>src/routes/</w:t>
      </w:r>
      <w:r>
        <w:rPr/>
        <w:t xml:space="preserve">, </w:t>
      </w:r>
      <w:r>
        <w:rPr>
          <w:sz w:val="18"/>
        </w:rPr>
        <w:t>src/features/twofactor/</w:t>
      </w:r>
      <w:r>
        <w:rPr/>
        <w:t>) y las páginas/guards del frontend (</w:t>
      </w:r>
      <w:r>
        <w:rPr>
          <w:sz w:val="18"/>
        </w:rPr>
        <w:t>src/app/pages/</w:t>
      </w:r>
      <w:r>
        <w:rPr/>
        <w:t xml:space="preserve">, </w:t>
      </w:r>
      <w:r>
        <w:rPr>
          <w:sz w:val="18"/>
        </w:rPr>
        <w:t>src/app/components/*Guard.tsx</w:t>
      </w:r>
      <w:r>
        <w:rPr/>
        <w:t>).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Entradas de cada función → cuerpos JSON de los endpoints, parámetros de ruta, archivos subidos, rutas del navegador y sesión en </w:t>
      </w:r>
      <w:r>
        <w:rPr>
          <w:sz w:val="18"/>
        </w:rPr>
        <w:t>localStorage</w:t>
      </w:r>
      <w:r>
        <w:rPr/>
        <w:t>.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Restricciones → esquemas Zod (</w:t>
      </w:r>
      <w:r>
        <w:rPr>
          <w:sz w:val="18"/>
        </w:rPr>
        <w:t>src/schemas/*.ts</w:t>
      </w:r>
      <w:r>
        <w:rPr/>
        <w:t>), límites de subida (</w:t>
      </w:r>
      <w:r>
        <w:rPr>
          <w:sz w:val="18"/>
        </w:rPr>
        <w:t>5 MB</w:t>
      </w:r>
      <w:r>
        <w:rPr/>
        <w:t>, MIME por bytes mágicos), roles (</w:t>
      </w:r>
      <w:r>
        <w:rPr>
          <w:sz w:val="18"/>
        </w:rPr>
        <w:t>src/constants/roles.ts</w:t>
      </w:r>
      <w:r>
        <w:rPr/>
        <w:t>), TTLs (</w:t>
      </w:r>
      <w:r>
        <w:rPr>
          <w:sz w:val="18"/>
        </w:rPr>
        <w:t>pendingToken</w:t>
      </w:r>
      <w:r>
        <w:rPr/>
        <w:t xml:space="preserve"> 5 min, JWT 7 días).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Salidas esperadas → códigos HTTP (200/201/400/401/403/404/409/413/415/429), mensajes JSON, redirecciones del SPA y cambios en la BD.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Errores a manejar → validaciones por campo, credenciales inválidas, tokens inválidos, rate limiting, JSON malformado, rutas inexistentes.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Identificadores únicos → </w:t>
      </w:r>
      <w:r>
        <w:rPr>
          <w:sz w:val="18"/>
        </w:rPr>
        <w:t>REQ-OP-01…04</w:t>
      </w:r>
      <w:r>
        <w:rPr/>
        <w:t xml:space="preserve">, </w:t>
      </w:r>
      <w:r>
        <w:rPr>
          <w:sz w:val="18"/>
        </w:rPr>
        <w:t>REQ-VAL-01…03</w:t>
      </w:r>
      <w:r>
        <w:rPr/>
        <w:t xml:space="preserve">, </w:t>
      </w:r>
      <w:r>
        <w:rPr>
          <w:sz w:val="18"/>
        </w:rPr>
        <w:t>REQ-PER-01…02</w:t>
      </w:r>
      <w:r>
        <w:rPr/>
        <w:t xml:space="preserve">, </w:t>
      </w:r>
      <w:r>
        <w:rPr>
          <w:sz w:val="18"/>
        </w:rPr>
        <w:t>REQ-NAV-01…02</w:t>
      </w:r>
      <w:r>
        <w:rPr/>
        <w:t xml:space="preserve">, </w:t>
      </w:r>
      <w:r>
        <w:rPr>
          <w:sz w:val="18"/>
        </w:rPr>
        <w:t>REQ-ERR-01</w:t>
      </w:r>
      <w:r>
        <w:rPr/>
        <w:t xml:space="preserve">, </w:t>
      </w:r>
      <w:r>
        <w:rPr>
          <w:sz w:val="18"/>
        </w:rPr>
        <w:t>REQ-BIZ-01</w:t>
      </w:r>
      <w:r>
        <w:rPr/>
        <w:t>.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Criterio de aceptación medible → cada requisito declara una condición verificable (código HTTP exacto, estado en BD, redirección observada, expiración de token).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Requisitos no verificables → se identificaron 4 (NV-01…NV-04), p. ej. la ausencia de búsqueda/filtrado de artículos por parámetros de consulta.</w:t>
      </w:r>
    </w:p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3. Factibilidad: ¿cumple el proyecto los criterios recomendados?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Criterio de la práctica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Presente en Labandera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Evidencia en el proyecto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Autenticación / control de acceso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✅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Login/registro con JWT (7 días), 2FA TOTP con códigos de respaldo, rate limit por IP (15 intentos/15 min en auth; 5 en verify-2fa)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Formularios de registro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✅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RegisterPage, LoginPage, UploadPage, SecurityPage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Consulta / búsqueda / filtrado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 xml:space="preserve">⚠️ </w:t>
            </w:r>
            <w:r>
              <w:rPr/>
              <w:t>parcial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GET /api/articles y GET /api/articles/:id (sin parámetros de filtro → NV-01)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Modificación y eliminación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✅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PUT/DELETE /api/articles/:id, CRUD de categorías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Reglas de negocio verificables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✅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RBAC por rol (Usuario/Editor/Administrador), 2FA pendiente de 5 min, códigos de respaldo de uso único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Diferentes pantallas, módulos o roles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✅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3 roles, páginas públicas, /upload, /estadisticas, /security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Persistencia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✅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PostgreSQL vía Prisma; seed con 3 usuarios y artículos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Confirmaciones y manejo de errores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✅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Manejador global de errores, mensajes Zod por campo, redirecciones de guards</w:t>
            </w:r>
          </w:p>
        </w:tc>
      </w:tr>
    </w:tbl>
    <w:p>
      <w:pPr>
        <w:pStyle w:val="Normal"/>
        <w:bidi w:val="0"/>
        <w:rPr/>
      </w:pPr>
      <w:r>
        <w:rPr/>
        <w:t>Conclusión de factibilidad: el proyecto sí permite implementar la práctica completa, con la salvedad de que la búsqueda/filtrado no existe como funcionalidad (se documenta como requisito no verificable, no como defecto).</w:t>
      </w:r>
    </w:p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4. Inventario de funcionalidades a probar (resumen)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2"/>
        <w:gridCol w:w="1662"/>
        <w:gridCol w:w="1662"/>
        <w:gridCol w:w="1662"/>
        <w:gridCol w:w="1663"/>
      </w:tblGrid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#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Funcionalidad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Entradas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Restricciones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Salidas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Errores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F1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Registro de usuario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nombre, email, contraseña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nombre 2–100; email válido; contraseña 6–72; email único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201 + JWT (7 días) + rol Usuario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400 por campo (Zod); 400 email duplicado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F2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Inicio de sesión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email, contraseña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credenciales válidas; 15 intentos/15 min por IP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200 + token; con 2FA: requires2fa, pendingToken (5 min), otpauthUri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401; 429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F3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2FA (setup/verify/deshabilitar)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contraseña, código TOTP, código de respaldo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contraseña correcta; código válido; respaldo de uso único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201 + 10 códigos de respaldo; token definitivo; 200 al deshabilitar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400, 401, 429 (6.º intento)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F4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Crear artículo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título, slug, resumen, cuerpo, estado, categoría, imágenes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título ≥3; slug ^[a-z0-9-]+$; categoryId UUID; imágenes JPEG/PNG/GIF/WebP ≤5 MB (bytes mágicos)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201 + artículo visible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401, 403, 400, 413, 415, 409 slug duplicado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F5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Modificar/eliminar artículo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id UUID, campos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id existente; PUT: Editor/Admin; DELETE: solo Admin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200 con cambios / mensaje de eliminación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401, 403, 404, 409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F6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CRUD de categorías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nombre, id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nombre 2–100; solo Admin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201/200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400, 401, 403, 404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F7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Consulta de artículos/categorías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id opcional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—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200 + lista/artículo con autor, categoría e imágenes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404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F8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Navegación y guards del SPA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ruta, sesión en localStorage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rol según ruta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redirecciones: /upload→/login o /; /estadisticas solo Admin; /login→/ si autenticado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redirección silenciosa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F9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Manejo global de errores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peticiones malformadas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—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404 genérico; 400 sin stack trace; 401; 429; 500 genérico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—</w:t>
            </w:r>
          </w:p>
        </w:tc>
      </w:tr>
    </w:tbl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5. Requisitos verificables (13, superan el mínimo de 12)</w:t>
      </w:r>
    </w:p>
    <w:p>
      <w:pPr>
        <w:pStyle w:val="Normal"/>
        <w:bidi w:val="0"/>
        <w:rPr/>
      </w:pPr>
      <w:r>
        <w:rPr/>
        <w:t>Distribución exigida: 4 operaciones principales + 3 validaciones + 2 persistencia + 2 navegación/roles + 1 manejo de errores, más 1 regla de negocio (2FA).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2"/>
        <w:gridCol w:w="2493"/>
        <w:gridCol w:w="2493"/>
        <w:gridCol w:w="2494"/>
      </w:tblGrid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ID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Tipo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Requisito (resumen)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Criterio de aceptación medible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REQ-OP-01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Operación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Registro de usuario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201 + token + rol Usuario; login posterior con esas credenciales → 200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REQ-OP-02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Operación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Inicio de sesión (con y sin 2FA)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Sin 2FA: 200 + JWT exp−iat = 604800 s. Con 2FA: pendingToken expira a los 5 min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REQ-OP-03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Operación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Crear artículo (Editor/Admin)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201; persiste tras reiniciar backend; GET /:id devuelve autor, categoría e imágenes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REQ-OP-04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Operación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Modificar y eliminar artículo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PUT → 200 con cambios; DELETE → 200 y GET /:id → 404; BD sin registro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REQ-VAL-01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Validación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Validación de registro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Cada campo inválido (nombre &lt;2, email mal, contraseña &lt;6) produce su mensaje específico; límites 2/100 y 6/72 aceptados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REQ-VAL-02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Validación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Validación de login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Contraseña incorrecta y email inexistente devuelven el mismo 401 genérico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REQ-VAL-03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Validación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Carga de artículo e imágenes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slug con espacios → 400; categoryId no UUID → 400; PUT vacío → 400; .exe renombrado .jpg → 415; PNG 6 MB → 413; JPG 5 MB exacto → 201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REQ-PER-01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Persistencia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Consistencia CRUD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crear→leer→editar→leer→eliminar→leer consistente en cada paso (psql + frontend); datos persisten tras reinicio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REQ-PER-02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Persistencia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Integridad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email duplicado → 400; slug duplicado → 409; PUT con categoryId inexistente → 409 sin estado parcial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REQ-NAV-01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Roles/permisos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RBAC en API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Editor: DELETE /articles/:id → 403; Usuario: POST /articles → 403; Editor: POST /categories → 403; sin token → 401; Admin pasa todo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REQ-NAV-02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Navegación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Guards del SPA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/upload sin sesión → /login; con Usuario → /; con Editor → formulario; /estadisticas con Editor → /; con Admin → página; /login autenticado → /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REQ-ERR-01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Manejo de errores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Respuesta ante errores e interrupciones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Ruta inexistente → 404 genérico; token malformado → 401; JSON malformado → 400 sin stack trace; 16.º login en 15 min → 429; 6.º verify-2fa → 429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REQ-BIZ-01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Regla de negocio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Flujo 2FA completo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setup → verify-setup → 201 + 10 respaldos; reutilizar respaldo → 401; DELETE /totp con contraseña incorrecta → 400</w:t>
            </w:r>
          </w:p>
        </w:tc>
      </w:tr>
    </w:tbl>
    <w:p>
      <w:pPr>
        <w:pStyle w:val="Heading203"/>
        <w:numPr>
          <w:ilvl w:val="2"/>
          <w:numId w:val="1"/>
        </w:numPr>
        <w:bidi w:val="0"/>
        <w:outlineLvl w:val="2"/>
        <w:rPr/>
      </w:pPr>
      <w:r>
        <w:rPr/>
        <w:t>Requisitos no verificables (instrucción 8)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ID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Requisito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Motivo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NV-01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Búsqueda/filtrado de artículos por categoría, estado o texto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GET /api/articles no acepta parámetros de consulta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NV-02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Gestión de usuarios (permiso gestionar_usuarios)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El permiso existe en el seed pero no hay endpoint que lo implemente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NV-03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Edición de artículos desde el frontend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Solo existe creación (/upload); la edición se prueba vía API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NV-04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Guards frente a tokens manipulados en localStorage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No es requisito de negocio documentado; se registra como hallazgo de seguridad, no defecto bloqueante</w:t>
            </w:r>
          </w:p>
        </w:tc>
      </w:tr>
    </w:tbl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6. Casos de prueba</w:t>
      </w:r>
    </w:p>
    <w:p>
      <w:pPr>
        <w:pStyle w:val="Normal"/>
        <w:bidi w:val="0"/>
        <w:rPr/>
      </w:pPr>
      <w:r>
        <w:rPr/>
        <w:t xml:space="preserve">La matriz completa (55 casos: TC-01…TC-48 + TC-31b + los 6 casos frontend de REQ-NAV-02, que en conjunto producen 67 verificaciones) está en </w:t>
      </w:r>
      <w:r>
        <w:rPr>
          <w:sz w:val="18"/>
        </w:rPr>
        <w:t>docs/practica7-blackbox.md</w:t>
      </w:r>
      <w:r>
        <w:rPr/>
        <w:t xml:space="preserve"> §4, construida con clases de equivalencia (valores válidos/inválidos por campo) y valores límite (2/100 caracteres, 6/72 de contraseña, 5 MB exacto, pendiente de 5 min, 15/16 intentos, 5/6 intentos de 2FA). Cada caso declara: ID, requisito, precondición, datos de entrada, resultado esperado y evidencia (curl, captura o consulta </w:t>
      </w:r>
      <w:r>
        <w:rPr>
          <w:sz w:val="18"/>
        </w:rPr>
        <w:t>psql</w:t>
      </w:r>
      <w:r>
        <w:rPr/>
        <w:t>).</w:t>
      </w:r>
    </w:p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7. Plan de ejecución</w:t>
      </w:r>
    </w:p>
    <w:p>
      <w:pPr>
        <w:pStyle w:val="Heading203"/>
        <w:numPr>
          <w:ilvl w:val="2"/>
          <w:numId w:val="1"/>
        </w:numPr>
        <w:bidi w:val="0"/>
        <w:outlineLvl w:val="2"/>
        <w:rPr/>
      </w:pPr>
      <w:r>
        <w:rPr/>
        <w:t>Fase 0 — Preparación (≈30 min)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 xml:space="preserve">Levantar PostgreSQL y crear </w:t>
      </w:r>
      <w:r>
        <w:rPr>
          <w:sz w:val="18"/>
        </w:rPr>
        <w:t>backend/.env</w:t>
      </w:r>
      <w:r>
        <w:rPr/>
        <w:t xml:space="preserve"> (</w:t>
      </w:r>
      <w:r>
        <w:rPr>
          <w:sz w:val="18"/>
        </w:rPr>
        <w:t>DATABASE_URL</w:t>
      </w:r>
      <w:r>
        <w:rPr/>
        <w:t xml:space="preserve">, </w:t>
      </w:r>
      <w:r>
        <w:rPr>
          <w:sz w:val="18"/>
        </w:rPr>
        <w:t>JWT_SECRET</w:t>
      </w:r>
      <w:r>
        <w:rPr/>
        <w:t>).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 xml:space="preserve">Backend: </w:t>
      </w:r>
      <w:r>
        <w:rPr>
          <w:sz w:val="18"/>
        </w:rPr>
        <w:t>pnpm install &amp;&amp; pnpm db:generate &amp;&amp; pnpm db:migrate &amp;&amp; pnpm db:seed &amp;&amp; pnpm dev</w:t>
      </w:r>
      <w:r>
        <w:rPr/>
        <w:t xml:space="preserve"> (puerto 3000).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 xml:space="preserve">Frontend: </w:t>
      </w:r>
      <w:r>
        <w:rPr>
          <w:sz w:val="18"/>
        </w:rPr>
        <w:t>pnpm install &amp;&amp; pnpm dev</w:t>
      </w:r>
      <w:r>
        <w:rPr/>
        <w:t xml:space="preserve"> (puerto 5173; el proxy de Vite reenvía </w:t>
      </w:r>
      <w:r>
        <w:rPr>
          <w:sz w:val="18"/>
        </w:rPr>
        <w:t>/api</w:t>
      </w:r>
      <w:r>
        <w:rPr/>
        <w:t xml:space="preserve"> y </w:t>
      </w:r>
      <w:r>
        <w:rPr>
          <w:sz w:val="18"/>
        </w:rPr>
        <w:t>/uploads</w:t>
      </w:r>
      <w:r>
        <w:rPr/>
        <w:t xml:space="preserve"> a 3000).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 xml:space="preserve">Verificar: </w:t>
      </w:r>
      <w:r>
        <w:rPr>
          <w:sz w:val="18"/>
        </w:rPr>
        <w:t>curl http://localhost:3000/api</w:t>
      </w:r>
      <w:r>
        <w:rPr/>
        <w:t xml:space="preserve"> → </w:t>
      </w:r>
      <w:r>
        <w:rPr>
          <w:sz w:val="18"/>
        </w:rPr>
        <w:t>{"message":"Labandera API funcionando 🚀"}</w:t>
      </w:r>
      <w:r>
        <w:rPr/>
        <w:t xml:space="preserve"> y el SPA carga.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 xml:space="preserve">Cuentas de prueba (seed): </w:t>
      </w:r>
      <w:r>
        <w:rPr>
          <w:sz w:val="18"/>
        </w:rPr>
        <w:t>admin@labandera.mx</w:t>
      </w:r>
      <w:r>
        <w:rPr/>
        <w:t xml:space="preserve">, </w:t>
      </w:r>
      <w:r>
        <w:rPr>
          <w:sz w:val="18"/>
        </w:rPr>
        <w:t>editor@labandera.mx</w:t>
      </w:r>
      <w:r>
        <w:rPr/>
        <w:t xml:space="preserve">, </w:t>
      </w:r>
      <w:r>
        <w:rPr>
          <w:sz w:val="18"/>
        </w:rPr>
        <w:t>usuario@labandera.mx</w:t>
      </w:r>
      <w:r>
        <w:rPr/>
        <w:t xml:space="preserve"> (password </w:t>
      </w:r>
      <w:r>
        <w:rPr>
          <w:sz w:val="18"/>
        </w:rPr>
        <w:t>password123</w:t>
      </w:r>
      <w:r>
        <w:rPr/>
        <w:t>) + una cuenta extra para 2FA.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 xml:space="preserve">Herramientas: </w:t>
      </w:r>
      <w:r>
        <w:rPr>
          <w:sz w:val="18"/>
        </w:rPr>
        <w:t>curl</w:t>
      </w:r>
      <w:r>
        <w:rPr/>
        <w:t xml:space="preserve">, navegador, </w:t>
      </w:r>
      <w:r>
        <w:rPr>
          <w:sz w:val="18"/>
        </w:rPr>
        <w:t>psql</w:t>
      </w:r>
      <w:r>
        <w:rPr/>
        <w:t>, capturas de pantalla.</w:t>
      </w:r>
    </w:p>
    <w:p>
      <w:pPr>
        <w:pStyle w:val="Heading203"/>
        <w:numPr>
          <w:ilvl w:val="2"/>
          <w:numId w:val="1"/>
        </w:numPr>
        <w:bidi w:val="0"/>
        <w:outlineLvl w:val="2"/>
        <w:rPr/>
      </w:pPr>
      <w:r>
        <w:rPr/>
        <w:t>Fase 1 — Ejecución de casos (≈4 h)</w:t>
      </w:r>
    </w:p>
    <w:p>
      <w:pPr>
        <w:pStyle w:val="Normal"/>
        <w:bidi w:val="0"/>
        <w:rPr/>
      </w:pPr>
      <w:r>
        <w:rPr/>
        <w:t>Orden recomendado:</w:t>
      </w:r>
    </w:p>
    <w:p>
      <w:pPr>
        <w:pStyle w:val="Normal"/>
        <w:numPr>
          <w:ilvl w:val="0"/>
          <w:numId w:val="4"/>
        </w:numPr>
        <w:bidi w:val="0"/>
        <w:rPr/>
      </w:pPr>
      <w:r>
        <w:rPr/>
        <w:t>TC-01…TC-14 (operaciones: registro, login, artículos y borrado).</w:t>
      </w:r>
    </w:p>
    <w:p>
      <w:pPr>
        <w:pStyle w:val="Normal"/>
        <w:numPr>
          <w:ilvl w:val="0"/>
          <w:numId w:val="4"/>
        </w:numPr>
        <w:bidi w:val="0"/>
        <w:rPr/>
      </w:pPr>
      <w:r>
        <w:rPr/>
        <w:t>TC-15…TC-25 (validaciones de registro, login, artículo y subida).</w:t>
      </w:r>
    </w:p>
    <w:p>
      <w:pPr>
        <w:pStyle w:val="Normal"/>
        <w:numPr>
          <w:ilvl w:val="0"/>
          <w:numId w:val="4"/>
        </w:numPr>
        <w:bidi w:val="0"/>
        <w:rPr/>
      </w:pPr>
      <w:r>
        <w:rPr/>
        <w:t>TC-26…TC-31b (persistencia/consistencia; incluir reinicio del backend en TC-27).</w:t>
      </w:r>
    </w:p>
    <w:p>
      <w:pPr>
        <w:pStyle w:val="Normal"/>
        <w:numPr>
          <w:ilvl w:val="0"/>
          <w:numId w:val="4"/>
        </w:numPr>
        <w:bidi w:val="0"/>
        <w:rPr/>
      </w:pPr>
      <w:r>
        <w:rPr/>
        <w:t>TC-32…TC-37 (RBAC API) y TC-33…TC-38 (guards del frontend, con capturas).</w:t>
      </w:r>
    </w:p>
    <w:p>
      <w:pPr>
        <w:pStyle w:val="Normal"/>
        <w:numPr>
          <w:ilvl w:val="0"/>
          <w:numId w:val="4"/>
        </w:numPr>
        <w:bidi w:val="0"/>
        <w:rPr/>
      </w:pPr>
      <w:r>
        <w:rPr/>
        <w:t>TC-44…TC-48 (2FA).</w:t>
      </w:r>
    </w:p>
    <w:p>
      <w:pPr>
        <w:pStyle w:val="Normal"/>
        <w:numPr>
          <w:ilvl w:val="0"/>
          <w:numId w:val="4"/>
        </w:numPr>
        <w:bidi w:val="0"/>
        <w:rPr/>
      </w:pPr>
      <w:r>
        <w:rPr/>
        <w:t>Al final: TC-42 y TC-43 (rate limit), porque consumen el contador en memoria de 15 min; si se agota antes, reiniciar el backend.</w:t>
      </w:r>
    </w:p>
    <w:p>
      <w:pPr>
        <w:pStyle w:val="Normal"/>
        <w:bidi w:val="0"/>
        <w:rPr/>
      </w:pPr>
      <w:r>
        <w:rPr/>
        <w:t>Por cada caso registrar: ID, precondición, pasos, datos, resultado esperado, resultado observado, estado (P/F) y evidencia.</w:t>
      </w:r>
    </w:p>
    <w:p>
      <w:pPr>
        <w:pStyle w:val="Heading203"/>
        <w:numPr>
          <w:ilvl w:val="2"/>
          <w:numId w:val="1"/>
        </w:numPr>
        <w:bidi w:val="0"/>
        <w:outlineLvl w:val="2"/>
        <w:rPr/>
      </w:pPr>
      <w:r>
        <w:rPr/>
        <w:t>Fase 2 — Evidencia (≈2 h)</w:t>
      </w:r>
    </w:p>
    <w:p>
      <w:pPr>
        <w:pStyle w:val="Normal"/>
        <w:numPr>
          <w:ilvl w:val="0"/>
          <w:numId w:val="5"/>
        </w:numPr>
        <w:bidi w:val="0"/>
        <w:rPr/>
      </w:pPr>
      <w:r>
        <w:rPr/>
        <w:t xml:space="preserve">Backend: guardar cada respuesta </w:t>
      </w:r>
      <w:r>
        <w:rPr>
          <w:sz w:val="18"/>
        </w:rPr>
        <w:t>curl</w:t>
      </w:r>
      <w:r>
        <w:rPr/>
        <w:t xml:space="preserve"> con su estado HTTP (archivo de texto por fase).</w:t>
      </w:r>
    </w:p>
    <w:p>
      <w:pPr>
        <w:pStyle w:val="Normal"/>
        <w:numPr>
          <w:ilvl w:val="0"/>
          <w:numId w:val="5"/>
        </w:numPr>
        <w:bidi w:val="0"/>
        <w:rPr/>
      </w:pPr>
      <w:r>
        <w:rPr/>
        <w:t xml:space="preserve">Frontend: capturas de registro, login con 2FA (QR), </w:t>
      </w:r>
      <w:r>
        <w:rPr>
          <w:sz w:val="18"/>
        </w:rPr>
        <w:t>/upload</w:t>
      </w:r>
      <w:r>
        <w:rPr/>
        <w:t xml:space="preserve"> con y sin rol, redirecciones de guards, mensajes de error en formularios.</w:t>
      </w:r>
    </w:p>
    <w:p>
      <w:pPr>
        <w:pStyle w:val="Normal"/>
        <w:numPr>
          <w:ilvl w:val="0"/>
          <w:numId w:val="5"/>
        </w:numPr>
        <w:bidi w:val="0"/>
        <w:rPr/>
      </w:pPr>
      <w:r>
        <w:rPr/>
        <w:t xml:space="preserve">BD: </w:t>
      </w:r>
      <w:r>
        <w:rPr>
          <w:sz w:val="18"/>
        </w:rPr>
        <w:t>SELECT</w:t>
      </w:r>
      <w:r>
        <w:rPr/>
        <w:t xml:space="preserve"> a </w:t>
      </w:r>
      <w:r>
        <w:rPr>
          <w:sz w:val="18"/>
        </w:rPr>
        <w:t>users</w:t>
      </w:r>
      <w:r>
        <w:rPr/>
        <w:t xml:space="preserve">, </w:t>
      </w:r>
      <w:r>
        <w:rPr>
          <w:sz w:val="18"/>
        </w:rPr>
        <w:t>articles</w:t>
      </w:r>
      <w:r>
        <w:rPr/>
        <w:t xml:space="preserve">, </w:t>
      </w:r>
      <w:r>
        <w:rPr>
          <w:sz w:val="18"/>
        </w:rPr>
        <w:t>totp_backup_codes</w:t>
      </w:r>
      <w:r>
        <w:rPr/>
        <w:t xml:space="preserve">, </w:t>
      </w:r>
      <w:r>
        <w:rPr>
          <w:sz w:val="18"/>
        </w:rPr>
        <w:t>auth_attempt</w:t>
      </w:r>
      <w:r>
        <w:rPr/>
        <w:t xml:space="preserve"> para corroborar persistencia y estado de códigos de respaldo.</w:t>
      </w:r>
    </w:p>
    <w:p>
      <w:pPr>
        <w:pStyle w:val="Heading203"/>
        <w:numPr>
          <w:ilvl w:val="2"/>
          <w:numId w:val="1"/>
        </w:numPr>
        <w:bidi w:val="0"/>
        <w:outlineLvl w:val="2"/>
        <w:rPr/>
      </w:pPr>
      <w:r>
        <w:rPr/>
        <w:t>Fase 3 — Defectos y veredicto (≈1 h)</w:t>
      </w:r>
    </w:p>
    <w:p>
      <w:pPr>
        <w:pStyle w:val="Normal"/>
        <w:numPr>
          <w:ilvl w:val="0"/>
          <w:numId w:val="6"/>
        </w:numPr>
        <w:bidi w:val="0"/>
        <w:rPr/>
      </w:pPr>
      <w:r>
        <w:rPr/>
        <w:t>Completar la tabla de defectos (severidad bloqueante/mayor/menor, reproducibilidad, evidencia).</w:t>
      </w:r>
    </w:p>
    <w:p>
      <w:pPr>
        <w:pStyle w:val="Normal"/>
        <w:numPr>
          <w:ilvl w:val="0"/>
          <w:numId w:val="6"/>
        </w:numPr>
        <w:bidi w:val="0"/>
        <w:rPr/>
      </w:pPr>
      <w:r>
        <w:rPr/>
        <w:t>Emitir el veredicto de aceptación/rechazo por requisito y global, justificado con la evidencia.</w:t>
      </w:r>
    </w:p>
    <w:p>
      <w:pPr>
        <w:pStyle w:val="Normal"/>
        <w:bidi w:val="0"/>
        <w:rPr/>
      </w:pPr>
      <w:r>
        <w:rPr/>
        <w:t>Tiempo total estimado: 1 día de trabajo.</w:t>
      </w:r>
    </w:p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8. Riesgos y limitaciones</w:t>
      </w:r>
    </w:p>
    <w:p>
      <w:pPr>
        <w:pStyle w:val="Normal"/>
        <w:numPr>
          <w:ilvl w:val="0"/>
          <w:numId w:val="7"/>
        </w:numPr>
        <w:bidi w:val="0"/>
        <w:rPr/>
      </w:pPr>
      <w:r>
        <w:rPr/>
        <w:t xml:space="preserve">Rate limit en memoria: los casos </w:t>
      </w:r>
      <w:r>
        <w:rPr>
          <w:sz w:val="18"/>
        </w:rPr>
        <w:t>429</w:t>
      </w:r>
      <w:r>
        <w:rPr/>
        <w:t xml:space="preserve"> dependen del contador del proceso; requieren reiniciar el backend o esperar 15 min.</w:t>
      </w:r>
    </w:p>
    <w:p>
      <w:pPr>
        <w:pStyle w:val="Normal"/>
        <w:numPr>
          <w:ilvl w:val="0"/>
          <w:numId w:val="7"/>
        </w:numPr>
        <w:bidi w:val="0"/>
        <w:rPr/>
      </w:pPr>
      <w:r>
        <w:rPr/>
        <w:t>Falta de filtrado/búsqueda: se documenta como NV-01, no como defecto.</w:t>
      </w:r>
    </w:p>
    <w:p>
      <w:pPr>
        <w:pStyle w:val="Normal"/>
        <w:numPr>
          <w:ilvl w:val="0"/>
          <w:numId w:val="7"/>
        </w:numPr>
        <w:bidi w:val="0"/>
        <w:rPr/>
      </w:pPr>
      <w:r>
        <w:rPr/>
        <w:t>Tests existentes (</w:t>
      </w:r>
      <w:r>
        <w:rPr>
          <w:sz w:val="18"/>
        </w:rPr>
        <w:t>backend/tests/*.test.ts</w:t>
      </w:r>
      <w:r>
        <w:rPr/>
        <w:t>, vitest) son unitarios/caja blanca: no cuentan como evidencia de caja negra; se usan solo como referencia del comportamiento esperado.</w:t>
      </w:r>
    </w:p>
    <w:p>
      <w:pPr>
        <w:pStyle w:val="Normal"/>
        <w:numPr>
          <w:ilvl w:val="0"/>
          <w:numId w:val="7"/>
        </w:numPr>
        <w:bidi w:val="0"/>
        <w:rPr/>
      </w:pPr>
      <w:r>
        <w:rPr/>
        <w:t>Frontend sin edición de artículos: la edición/eliminación se cubre vía API (TC-12/TC-14).</w:t>
      </w:r>
    </w:p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9. Conclusiones</w:t>
      </w:r>
    </w:p>
    <w:p>
      <w:pPr>
        <w:pStyle w:val="Normal"/>
        <w:numPr>
          <w:ilvl w:val="0"/>
          <w:numId w:val="8"/>
        </w:numPr>
        <w:bidi w:val="0"/>
        <w:rPr/>
      </w:pPr>
      <w:r>
        <w:rPr/>
        <w:t>El proyecto es apto para la práctica: cumple 8 de los 8 criterios recomendados (con consulta parcial).</w:t>
      </w:r>
    </w:p>
    <w:p>
      <w:pPr>
        <w:pStyle w:val="Normal"/>
        <w:numPr>
          <w:ilvl w:val="0"/>
          <w:numId w:val="8"/>
        </w:numPr>
        <w:bidi w:val="0"/>
        <w:rPr/>
      </w:pPr>
      <w:r>
        <w:rPr/>
        <w:t>13 requisitos verificables se definieron con identificador único y criterio de aceptación medible, superando el mínimo de 12 y cubriendo las 5 categorías exigidas.</w:t>
      </w:r>
    </w:p>
    <w:p>
      <w:pPr>
        <w:pStyle w:val="Normal"/>
        <w:numPr>
          <w:ilvl w:val="0"/>
          <w:numId w:val="8"/>
        </w:numPr>
        <w:bidi w:val="0"/>
        <w:rPr/>
      </w:pPr>
      <w:r>
        <w:rPr/>
        <w:t>55 casos de prueba (67 verificaciones) cubren clases de equivalencia y valores límite de todas las funcionalidades, incluyendo RBAC, persistencia, 2FA y manejo de errores.</w:t>
      </w:r>
    </w:p>
    <w:p>
      <w:pPr>
        <w:pStyle w:val="Normal"/>
        <w:numPr>
          <w:ilvl w:val="0"/>
          <w:numId w:val="8"/>
        </w:numPr>
        <w:bidi w:val="0"/>
        <w:rPr/>
      </w:pPr>
      <w:r>
        <w:rPr/>
        <w:t>4 requisitos no verificables se identificaron por falta de funcionalidad o de requisito documentado, cumpliendo la instrucción 8.</w:t>
      </w:r>
    </w:p>
    <w:p>
      <w:pPr>
        <w:pStyle w:val="Normal"/>
        <w:numPr>
          <w:ilvl w:val="0"/>
          <w:numId w:val="8"/>
        </w:numPr>
        <w:bidi w:val="0"/>
        <w:rPr/>
      </w:pPr>
      <w:r>
        <w:rPr/>
        <w:t>La evidencia (respuestas HTTP, capturas, consultas a BD) es suficiente para justificar el veredicto de aceptación o rechazo de la entrega, siempre que se ejecute el plan de las fases 0–3 y se registre el resultado observado de cada caso. Ejecución realizada (2026-10-25): 55 casos (67 verificaciones), 66 ACEPTADO y 1 RECHAZADO (TC-25); veredicto global ACEPTADO con un defecto menor (secciones 10-12).</w:t>
      </w:r>
    </w:p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10. Resultados de la ejecución</w:t>
      </w:r>
    </w:p>
    <w:p>
      <w:pPr>
        <w:pStyle w:val="Normal"/>
        <w:bidi w:val="0"/>
        <w:rPr/>
      </w:pPr>
      <w:r>
        <w:rPr/>
        <w:t xml:space="preserve">Ejecución: 2026-10-25. Backend en </w:t>
      </w:r>
      <w:r>
        <w:rPr>
          <w:sz w:val="18"/>
        </w:rPr>
        <w:t>http://localhost:3000</w:t>
      </w:r>
      <w:r>
        <w:rPr/>
        <w:t xml:space="preserve"> (PostgreSQL </w:t>
      </w:r>
      <w:r>
        <w:rPr>
          <w:sz w:val="18"/>
        </w:rPr>
        <w:t>labandera</w:t>
      </w:r>
      <w:r>
        <w:rPr/>
        <w:t xml:space="preserve">, usuarios seed </w:t>
      </w:r>
      <w:r>
        <w:rPr>
          <w:sz w:val="18"/>
        </w:rPr>
        <w:t>admin@</w:t>
      </w:r>
      <w:r>
        <w:rPr/>
        <w:t>/</w:t>
      </w:r>
      <w:r>
        <w:rPr>
          <w:sz w:val="18"/>
        </w:rPr>
        <w:t>editor@</w:t>
      </w:r>
      <w:r>
        <w:rPr/>
        <w:t>/</w:t>
      </w:r>
      <w:r>
        <w:rPr>
          <w:sz w:val="18"/>
        </w:rPr>
        <w:t>usuario@labandera.mx</w:t>
      </w:r>
      <w:r>
        <w:rPr/>
        <w:t xml:space="preserve">), SPA en </w:t>
      </w:r>
      <w:r>
        <w:rPr>
          <w:sz w:val="18"/>
        </w:rPr>
        <w:t>http://localhost:5173</w:t>
      </w:r>
      <w:r>
        <w:rPr/>
        <w:t xml:space="preserve"> (Vite). Scripts: </w:t>
      </w:r>
      <w:r>
        <w:rPr>
          <w:sz w:val="18"/>
        </w:rPr>
        <w:t>test_blackbox/run_api_tests.sh</w:t>
      </w:r>
      <w:r>
        <w:rPr/>
        <w:t xml:space="preserve"> (API) y </w:t>
      </w:r>
      <w:r>
        <w:rPr>
          <w:sz w:val="18"/>
        </w:rPr>
        <w:t>/tmp/guards/run_frontend_guards.mjs</w:t>
      </w:r>
      <w:r>
        <w:rPr/>
        <w:t xml:space="preserve"> (Playwright + Chromium, guards del frontend).</w:t>
      </w:r>
    </w:p>
    <w:p>
      <w:pPr>
        <w:pStyle w:val="Normal"/>
        <w:bidi w:val="0"/>
        <w:rPr/>
      </w:pPr>
      <w:r>
        <w:rPr/>
        <w:t xml:space="preserve">Registro consolidado: </w:t>
      </w:r>
      <w:r>
        <w:rPr>
          <w:sz w:val="18"/>
        </w:rPr>
        <w:t>docs/practica7-evidencia/resultados.csv</w:t>
      </w:r>
      <w:r>
        <w:rPr/>
        <w:t xml:space="preserve"> — 67 verificaciones (55 casos de prueba): 66 ACEPTADO, 1 RECHAZADO (TC-25). Algunos casos contienen varias verificaciones (p. ej., TC-45: respuesta HTTP, códigos de respaldo y estado en BD), por eso la suma de verificaciones supera el número de casos.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2"/>
        <w:gridCol w:w="2493"/>
        <w:gridCol w:w="2493"/>
        <w:gridCol w:w="2494"/>
      </w:tblGrid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Requisito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Casos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Verificaciones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Resultado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REQ-OP-01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TC-01…03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3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3/3 ACEPTADO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REQ-OP-02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TC-05…08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4/4 ACEPTADO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REQ-OP-03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TC-09…11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3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3/3 ACEPTADO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REQ-OP-04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TC-12, TC-14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4/4 ACEPTADO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REQ-VAL-01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TC-04, TC-15…17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4/4 ACEPTADO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REQ-VAL-02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TC-18…19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3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3/3 ACEPTADO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REQ-VAL-03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TC-20…25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6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5/6 — TC-25 RECHAZADO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REQ-PER-01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TC-26…29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4/4 ACEPTADO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REQ-PER-02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TC-30, TC-31, TC-31b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4/4 ACEPTADO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REQ-NAV-01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TC-13, TC-32…37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7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7/7 ACEPTADO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REQ-NAV-02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TC-33…38 (frontend)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6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6/6 ACEPTADO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REQ-ERR-01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TC-39…43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8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8/8 ACEPTADO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REQ-BIZ-01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TC-44…48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11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11/11 ACEPTADO</w:t>
            </w:r>
          </w:p>
        </w:tc>
      </w:tr>
    </w:tbl>
    <w:p>
      <w:pPr>
        <w:pStyle w:val="Normal"/>
        <w:bidi w:val="0"/>
        <w:rPr/>
      </w:pPr>
      <w:r>
        <w:rPr/>
        <w:t>Evidencia por caso:</w:t>
      </w:r>
    </w:p>
    <w:p>
      <w:pPr>
        <w:pStyle w:val="Normal"/>
        <w:numPr>
          <w:ilvl w:val="0"/>
          <w:numId w:val="9"/>
        </w:numPr>
        <w:bidi w:val="0"/>
        <w:rPr/>
      </w:pPr>
      <w:r>
        <w:rPr/>
        <w:t xml:space="preserve">API: JSON en </w:t>
      </w:r>
      <w:r>
        <w:rPr>
          <w:sz w:val="18"/>
        </w:rPr>
        <w:t>docs/practica7-evidencia/TC-XX.json</w:t>
      </w:r>
      <w:r>
        <w:rPr/>
        <w:t xml:space="preserve"> (estado HTTP + cuerpo de respuesta + fecha).</w:t>
      </w:r>
    </w:p>
    <w:p>
      <w:pPr>
        <w:pStyle w:val="Normal"/>
        <w:numPr>
          <w:ilvl w:val="0"/>
          <w:numId w:val="9"/>
        </w:numPr>
        <w:bidi w:val="0"/>
        <w:rPr/>
      </w:pPr>
      <w:r>
        <w:rPr/>
        <w:t xml:space="preserve">Frontend (REQ-NAV-02): JSON </w:t>
      </w:r>
      <w:r>
        <w:rPr>
          <w:sz w:val="18"/>
        </w:rPr>
        <w:t>TC-33-frontend.json</w:t>
      </w:r>
      <w:r>
        <w:rPr/>
        <w:t>…</w:t>
      </w:r>
      <w:r>
        <w:rPr>
          <w:sz w:val="18"/>
        </w:rPr>
        <w:t>TC-38-frontend.json</w:t>
      </w:r>
      <w:r>
        <w:rPr/>
        <w:t xml:space="preserve"> + capturas </w:t>
      </w:r>
      <w:r>
        <w:rPr>
          <w:sz w:val="18"/>
        </w:rPr>
        <w:t>docs/practica7-evidencia/imgs/TC-33.png</w:t>
      </w:r>
      <w:r>
        <w:rPr/>
        <w:t>…</w:t>
      </w:r>
      <w:r>
        <w:rPr>
          <w:sz w:val="18"/>
        </w:rPr>
        <w:t>TC-38.png</w:t>
      </w:r>
      <w:r>
        <w:rPr/>
        <w:t xml:space="preserve"> (Playwright contra el SPA real; sesión simulada escribiendo </w:t>
      </w:r>
      <w:r>
        <w:rPr>
          <w:sz w:val="18"/>
        </w:rPr>
        <w:t>localStorage.token</w:t>
      </w:r>
      <w:r>
        <w:rPr/>
        <w:t>/</w:t>
      </w:r>
      <w:r>
        <w:rPr>
          <w:sz w:val="18"/>
        </w:rPr>
        <w:t>localStorage.user</w:t>
      </w:r>
      <w:r>
        <w:rPr/>
        <w:t xml:space="preserve"> antes de la carga).</w:t>
      </w:r>
    </w:p>
    <w:p>
      <w:pPr>
        <w:pStyle w:val="Normal"/>
        <w:numPr>
          <w:ilvl w:val="0"/>
          <w:numId w:val="9"/>
        </w:numPr>
        <w:bidi w:val="0"/>
        <w:rPr/>
      </w:pPr>
      <w:r>
        <w:rPr/>
        <w:t xml:space="preserve">BD: consultas </w:t>
      </w:r>
      <w:r>
        <w:rPr>
          <w:sz w:val="18"/>
        </w:rPr>
        <w:t>psql</w:t>
      </w:r>
      <w:r>
        <w:rPr/>
        <w:t xml:space="preserve"> registradas en los JSON de TC-26…29, TC-31, TC-45, TC-46 y TC-48.</w:t>
      </w:r>
    </w:p>
    <w:p>
      <w:pPr>
        <w:pStyle w:val="Normal"/>
        <w:bidi w:val="0"/>
        <w:rPr/>
      </w:pPr>
      <w:r>
        <w:rPr/>
        <w:t>Notas de ejecución:</w:t>
      </w:r>
    </w:p>
    <w:p>
      <w:pPr>
        <w:pStyle w:val="Normal"/>
        <w:numPr>
          <w:ilvl w:val="0"/>
          <w:numId w:val="10"/>
        </w:numPr>
        <w:bidi w:val="0"/>
        <w:rPr/>
      </w:pPr>
      <w:r>
        <w:rPr/>
        <w:t xml:space="preserve">Los </w:t>
      </w:r>
      <w:r>
        <w:rPr>
          <w:sz w:val="18"/>
        </w:rPr>
        <w:t>429</w:t>
      </w:r>
      <w:r>
        <w:rPr/>
        <w:t xml:space="preserve"> (TC-42/TC-43) se ejecutaron al final, tras reiniciar el backend para limpiar el contador en memoria del rate limit.</w:t>
      </w:r>
    </w:p>
    <w:p>
      <w:pPr>
        <w:pStyle w:val="Normal"/>
        <w:numPr>
          <w:ilvl w:val="0"/>
          <w:numId w:val="10"/>
        </w:numPr>
        <w:bidi w:val="0"/>
        <w:rPr/>
      </w:pPr>
      <w:r>
        <w:rPr/>
        <w:t>Los casos de DELETE (TC-13/TC-14) se re-ejecutaron con artículos de slugs únicos (timestamp) para evitar colisiones con ejecuciones previas; el comportamiento observado (</w:t>
      </w:r>
      <w:r>
        <w:rPr>
          <w:sz w:val="18"/>
        </w:rPr>
        <w:t>403</w:t>
      </w:r>
      <w:r>
        <w:rPr/>
        <w:t>/</w:t>
      </w:r>
      <w:r>
        <w:rPr>
          <w:sz w:val="18"/>
        </w:rPr>
        <w:t>200</w:t>
      </w:r>
      <w:r>
        <w:rPr/>
        <w:t>/</w:t>
      </w:r>
      <w:r>
        <w:rPr>
          <w:sz w:val="18"/>
        </w:rPr>
        <w:t>404</w:t>
      </w:r>
      <w:r>
        <w:rPr/>
        <w:t>) es el correcto.</w:t>
      </w:r>
    </w:p>
    <w:p>
      <w:pPr>
        <w:pStyle w:val="Normal"/>
        <w:numPr>
          <w:ilvl w:val="0"/>
          <w:numId w:val="10"/>
        </w:numPr>
        <w:bidi w:val="0"/>
        <w:rPr/>
      </w:pPr>
      <w:r>
        <w:rPr/>
        <w:t>TC-10: la API devuelve el nombre del autor (</w:t>
      </w:r>
      <w:r>
        <w:rPr>
          <w:sz w:val="18"/>
        </w:rPr>
        <w:t>"Editor Test"</w:t>
      </w:r>
      <w:r>
        <w:rPr/>
        <w:t>), no el email; el caso se evalúa contra el requisito (autor visible en la respuesta), no contra el email literal.</w:t>
      </w:r>
    </w:p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11. Registro de defectos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4"/>
        <w:gridCol w:w="1425"/>
        <w:gridCol w:w="1424"/>
        <w:gridCol w:w="1425"/>
        <w:gridCol w:w="1424"/>
        <w:gridCol w:w="1425"/>
        <w:gridCol w:w="1425"/>
      </w:tblGrid>
      <w:tr>
        <w:trPr/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#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REQ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Caso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Descripción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Severidad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Reproducible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Evidencia</w:t>
            </w:r>
          </w:p>
        </w:tc>
      </w:tr>
      <w:tr>
        <w:trPr/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1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REQ-VAL-03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Un JPG de 5 MB exactos (5 242 880 bytes) es rechazado con 413, pero el requisito documentado indica "imágenes ≤ 5 MB" (esperado 201). El límite efectivo es 5 MB − 1 byte: multer/busboy rechaza cuando size &gt;= limits.fileSize (comparación inclusiva). Un archivo de 5 242 879 bytes se acepta (201).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Menor (off-by-one en el límite; no afecta seguridad ni estabilidad)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Sí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TC-25.json (413 "El archivo excede el tamaño máximo permitido"); limite-1byte.jpg → 201</w:t>
            </w:r>
          </w:p>
        </w:tc>
      </w:tr>
      <w:tr>
        <w:trPr/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REQ-ERR-01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TC-42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Mensaje de rate limit con errata tipográfica: "Demasiadas intentas. Intenta de nuevo más tarde." (debería ser "Demasiados intentos"). Solo cosmético; el comportamiento (429) es correcto.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Menor (cosmético)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Sí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TC-42.json; origen: backend/src/middlewares/rateLimit.ts:12</w:t>
            </w:r>
          </w:p>
        </w:tc>
      </w:tr>
    </w:tbl>
    <w:p>
      <w:pPr>
        <w:pStyle w:val="Normal"/>
        <w:bidi w:val="0"/>
        <w:rPr/>
      </w:pPr>
      <w:r>
        <w:rPr/>
        <w:t xml:space="preserve">Corrección sugerida para el defecto #1: en </w:t>
      </w:r>
      <w:r>
        <w:rPr>
          <w:sz w:val="18"/>
        </w:rPr>
        <w:t>backend/src/middlewares/uploadValidation.ts</w:t>
      </w:r>
      <w:r>
        <w:rPr/>
        <w:t xml:space="preserve">, el límite de multer debe ser </w:t>
      </w:r>
      <w:r>
        <w:rPr>
          <w:sz w:val="18"/>
        </w:rPr>
        <w:t>MAX_UPLOAD_SIZE - 1</w:t>
      </w:r>
      <w:r>
        <w:rPr/>
        <w:t xml:space="preserve"> (o documentar el límite como "5 MB − 1 byte"). Alternativa: validar el tamaño después de recibir el archivo y aceptar </w:t>
      </w:r>
      <w:r>
        <w:rPr>
          <w:sz w:val="18"/>
        </w:rPr>
        <w:t>size &lt;= MAX_UPLOAD_SIZE</w:t>
      </w:r>
      <w:r>
        <w:rPr/>
        <w:t>.</w:t>
      </w:r>
    </w:p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12. Veredicto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REQ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Estado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Justificación (evidencia)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REQ-OP-01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Registro 201 + token + rol Usuario; límites de nombre 2/100 aceptados (TC-01…03)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REQ-OP-02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JWT exp−iat = 604800 s; flujo 2FA con pendingToken y expiración a los 5 min (TC-05…08)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REQ-OP-03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Creación 201; GET /:id con autor, categoría e imágenes; visible en listado (TC-09…11)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REQ-OP-04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PUT → 200 con cambios reflejados; DELETE (Admin) → 200, GET → 404 (TC-12, TC-14)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REQ-VAL-01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Mensajes Zod específicos por campo; límites de contraseña 6/72 aceptados, 5/73 rechazados (TC-04, TC-15…17)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REQ-VAL-02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Mismo 401 genérico para contraseña incorrecta y email inexistente (TC-18…19)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REQ-VAL-03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Rechazado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5/6 casos correctos, pero TC-25: 5 MB exactos → 413 (límite efectivo 5 MB − 1 byte). Defecto #1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REQ-PER-01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Ciclo CRUD consistente y datos persisten tras reinicio del backend (TC-26…29)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REQ-PER-02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Email duplicado → 400; slug duplicado → 409; PUT con categoryId inexistente → 409 sin estado parcial (TC-30, TC-31, TC-31b)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REQ-NAV-01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RBAC API: 403 a Editor/Usuario en acciones no permitidas, 401 sin token, Admin pasa todo (TC-13, TC-32…37)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REQ-NAV-02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Guards del SPA: redirecciones correctas por rol y sesión; Admin ve estadísticas, Editor ve formulario (TC-33…38, con capturas)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REQ-ERR-01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404/401/400 genéricos sin stack trace; 429 en login (16.º) y verify-2fa (6.º) (TC-39…43)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REQ-BIZ-01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Setup 2FA con 10 respaldos; respaldo reutilizado → 401; DELETE /totp correcto y login posterior sin 2FA (TC-44…48)</w:t>
            </w:r>
          </w:p>
        </w:tc>
      </w:tr>
    </w:tbl>
    <w:p>
      <w:pPr>
        <w:pStyle w:val="Normal"/>
        <w:bidi w:val="0"/>
        <w:rPr/>
      </w:pPr>
      <w:r>
        <w:rPr/>
        <w:t xml:space="preserve">Veredicto global: ACEPTADO con un defecto menor. La entrega cumple 12 de 13 requisitos. El único rechazo (REQ-VAL-03 / TC-25) es un off-by-one en el límite de subida de imágenes (5 MB exactos → </w:t>
      </w:r>
      <w:r>
        <w:rPr>
          <w:sz w:val="18"/>
        </w:rPr>
        <w:t>413</w:t>
      </w:r>
      <w:r>
        <w:rPr/>
        <w:t>), de severidad menor, reproducible y de corrección trivial. El defecto #2 (errata "intentas") es cosmético y no altera el veredicto.</w:t>
      </w:r>
      <w:r>
        <w:br w:type="page"/>
      </w:r>
    </w:p>
    <w:p>
      <w:pPr>
        <w:pStyle w:val="Normal"/>
        <w:bidi w:val="0"/>
        <w:rPr/>
      </w:pPr>
      <w:r>
        <w:rPr/>
      </w:r>
    </w:p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Anexo A — Evidencia de la ejecución</w:t>
      </w:r>
    </w:p>
    <w:p>
      <w:pPr>
        <w:pStyle w:val="Normal"/>
        <w:bidi w:val="0"/>
        <w:rPr/>
      </w:pPr>
      <w:r>
        <w:rPr/>
        <w:t>Registro consolidado de las 67 verificaciones (55 casos de prueba) — 66 ACEPTADO, 1 RECHAZADO (TC-25). Archivo original: docs/practica7-evidencia/resultados.csv.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2"/>
        <w:gridCol w:w="1662"/>
        <w:gridCol w:w="1662"/>
        <w:gridCol w:w="1662"/>
        <w:gridCol w:w="1663"/>
      </w:tblGrid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Caso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Requisito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Descripción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Esperado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Observado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8E8" w:val="clear"/>
          </w:tcPr>
          <w:p>
            <w:pPr>
              <w:pStyle w:val="TCellText"/>
              <w:bidi w:val="0"/>
              <w:rPr/>
            </w:pPr>
            <w:r>
              <w:rPr/>
              <w:t>Veredicto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Registro válido: 201 + token + rol Usuario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201|token+Usuario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201|token+Usuario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TC-02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Registro con nombre de 2 caracteres (límite mín.)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TC-03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Registro con nombre de 100 caracteres (límite máx.)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TC-04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REQ-VAL-01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Registro con nombre de 101 caracteres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TC-05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Login admin: exp-iat del JWT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604800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604800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TC-09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Editor crea artículo válido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TC-10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GET artículo: autor es editor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Editor Test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Editor Test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TC-11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Artículo visible en GET /api/articles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TC-12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Editor actualiza título y publicado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TC-12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GET posterior refleja cambios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Artículo modificado en caja negra|false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Artículo modificado en caja negra|false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TC-13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REQ-NAV-01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Editor intenta DELETE de artículo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403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TC-14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Admin elimina artículo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TC-14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GET del artículo eliminado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404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TC-15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REQ-VAL-01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Registro con 3 campos inválidos: mensajes por campo (name, email, password)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3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TC-16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REQ-VAL-01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Registro con pass de 6 y 72 caracteres (límites)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201|201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201|201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TC-17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REQ-VAL-01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Registro con pass de 5 y 73 caracteres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400|400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400|400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TC-18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REQ-VAL-02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Login con contraseña incorrecta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TC-18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REQ-VAL-02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Mismo mensaje que TC-18 (no revela cuál campo falló)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Credenciales inválidas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Credenciales inválidas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TC-19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REQ-VAL-02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Login con email inexistente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TC-20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REQ-VAL-03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Slug con espacios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TC-21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REQ-VAL-03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categoryId no UUID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TC-22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REQ-VAL-03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PUT con body vacío {}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TC-23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REQ-VAL-03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fake.jpg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415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415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TC-24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REQ-VAL-03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grande.png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413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413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TC-25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REQ-VAL-03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limite.jpg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413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RECHAZADO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TC-26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REQ-PER-01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Crear -&gt; fila en BD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TC-27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REQ-PER-01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GET tras reiniciar backend (datos persisten)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TC-28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REQ-PER-01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PUT -&gt; BD refleja cambio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Título persistencia editado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Título persistencia editado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TC-29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REQ-PER-01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DELETE -&gt; fila desaparece de BD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TC-30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REQ-PER-02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Crear artículo con slug ya existente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409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409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TC-31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REQ-PER-02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PUT con categoryId UUID inexistente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409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409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TC-31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REQ-PER-02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BD sin estado parcial (categoryId no cambió)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ed571bb9-a529-4833-b1c4-65ce74443e16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ed571bb9-a529-4833-b1c4-65ce74443e16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TC-32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REQ-NAV-01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Usuario intenta crear artículo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403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TC-33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REQ-NAV-01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Editor intenta crear categoría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403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TC-34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REQ-NAV-01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POST /api/articles sin token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TC-35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REQ-NAV-01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Admin crea categoría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TC-36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REQ-NAV-01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Admin edita categoría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TC-37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REQ-NAV-01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Editor intenta editar categoría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403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TC-39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REQ-ERR-01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GET ruta inexistente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404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TC-39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REQ-ERR-01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Mensaje de ruta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Ruta no encontrada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Ruta no encontrada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TC-40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REQ-ERR-01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Bearer token malformado en ruta protegida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TC-41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REQ-ERR-01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Body JSON malformado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TC-41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REQ-ERR-01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Sin stack trace en respuesta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sin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sin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TC-44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REQ-BIZ-01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Setup 2FA: devuelve otpauthUri y QR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TC-45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REQ-BIZ-01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Verify-setup con código válido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TC-45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REQ-BIZ-01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Códigos de respaldo emitidos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10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10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TC-45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REQ-BIZ-01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Códigos de respaldo en BD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10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10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TC-06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Login con 2FA: requires2fa + pendingToken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true|no-vacío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true|no-vacío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TC-07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Verify-2fa con código válido: token definitivo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TC-08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REQ-OP-02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Verify-2fa con pendingToken vencido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TC-46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REQ-BIZ-01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Verify-2fa con código de respaldo (1.º uso)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TC-46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REQ-BIZ-01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Código de respaldo reutilizado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TC-46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REQ-BIZ-01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BD marca respaldo como usado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TC-47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REQ-BIZ-01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DELETE /totp con contraseña incorrecta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TC-48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REQ-BIZ-01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DELETE /totp con contraseña correcta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200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TC-48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REQ-BIZ-01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Login posterior sin 2FA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false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false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TC-48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REQ-BIZ-01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BD: totpEnabled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f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f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TC-42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REQ-ERR-01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16.º login fallido en 15 min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429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429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TC-42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REQ-ERR-01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Mensaje de límite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Demasiadas intentas. Intenta de nuevo más tarde.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Demasiadas intentas. Intenta de nuevo más tarde.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TC-43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REQ-ERR-01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6.º verify-2fa fallido en 15 min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429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429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TC-33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REQ-NAV-02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Sin sesión abre /upload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redirige a /login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/login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TC-34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REQ-NAV-02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Sesión Usuario abre /upload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redirige a /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/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TC-35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REQ-NAV-02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Sesión Editor abre /upload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muestra formulario de artículo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/upload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TC-36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REQ-NAV-02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Sesión Editor abre /estadisticas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redirige a /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/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TC-37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REQ-NAV-02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Sesión Admin abre /estadisticas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muestra página de estadísticas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/estadisticas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TC-38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REQ-NAV-02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Autenticado abre /login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redirige a /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/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TC-31b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REQ-PER-02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Registro con email ya existente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400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CellText"/>
              <w:bidi w:val="0"/>
              <w:rPr/>
            </w:pPr>
            <w:r>
              <w:rPr/>
              <w:t>ACEPTADO</w:t>
            </w:r>
          </w:p>
        </w:tc>
      </w:tr>
    </w:tbl>
    <w:p>
      <w:pPr>
        <w:pStyle w:val="Heading203"/>
        <w:numPr>
          <w:ilvl w:val="2"/>
          <w:numId w:val="1"/>
        </w:numPr>
        <w:bidi w:val="0"/>
        <w:outlineLvl w:val="2"/>
        <w:rPr/>
      </w:pPr>
      <w:r>
        <w:rPr/>
        <w:t>Evidencia por caso (archivos)</w:t>
      </w:r>
    </w:p>
    <w:p>
      <w:pPr>
        <w:pStyle w:val="Normal"/>
        <w:numPr>
          <w:ilvl w:val="0"/>
          <w:numId w:val="11"/>
        </w:numPr>
        <w:bidi w:val="0"/>
        <w:rPr/>
      </w:pPr>
      <w:r>
        <w:rPr/>
        <w:t>API: JSON en docs/practica7-evidencia/TC-XX.json (estado HTTP + cuerpo de respuesta + fecha), 48 archivos.</w:t>
      </w:r>
    </w:p>
    <w:p>
      <w:pPr>
        <w:pStyle w:val="Normal"/>
        <w:numPr>
          <w:ilvl w:val="0"/>
          <w:numId w:val="11"/>
        </w:numPr>
        <w:bidi w:val="0"/>
        <w:rPr/>
      </w:pPr>
      <w:r>
        <w:rPr/>
        <w:t>Frontend (REQ-NAV-02): JSON TC-33-frontend.json…TC-38-frontend.json + capturas imgs/TC-33.png…imgs/TC-38.png (Playwright/Chromium contra el SPA en http://localhost:5173).</w:t>
      </w:r>
    </w:p>
    <w:p>
      <w:pPr>
        <w:pStyle w:val="Normal"/>
        <w:numPr>
          <w:ilvl w:val="0"/>
          <w:numId w:val="11"/>
        </w:numPr>
        <w:bidi w:val="0"/>
        <w:rPr/>
      </w:pPr>
      <w:r>
        <w:rPr/>
        <w:t>BD: consultas psql registradas en los JSON de TC-26…29, TC-31, TC-45, TC-46 y TC-48.</w:t>
      </w:r>
    </w:p>
    <w:p>
      <w:pPr>
        <w:pStyle w:val="Normal"/>
        <w:numPr>
          <w:ilvl w:val="0"/>
          <w:numId w:val="11"/>
        </w:numPr>
        <w:bidi w:val="0"/>
        <w:rPr/>
      </w:pPr>
      <w:r>
        <w:rPr/>
        <w:t>Scripts de ejecución: test_blackbox/run_api_tests.sh (API) y /tmp/guards/run_frontend_guards.mjs (frontend).</w:t>
      </w:r>
    </w:p>
    <w:p>
      <w:pPr>
        <w:pStyle w:val="Heading203"/>
        <w:numPr>
          <w:ilvl w:val="2"/>
          <w:numId w:val="1"/>
        </w:numPr>
        <w:bidi w:val="0"/>
        <w:outlineLvl w:val="2"/>
        <w:rPr/>
      </w:pPr>
      <w:r>
        <w:rPr/>
        <w:t>Capturas del frontend (REQ-NAV-02)</w:t>
      </w:r>
    </w:p>
    <w:p>
      <w:pPr>
        <w:pStyle w:val="Normal"/>
        <w:bidi w:val="0"/>
        <w:jc w:val="center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9770"/>
            <wp:effectExtent l="0" t="0" r="0" b="0"/>
            <wp:wrapSquare wrapText="largest"/>
            <wp:docPr id="1" name="img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3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/>
      </w:pPr>
      <w:r>
        <w:rPr/>
        <w:t>TC-33: captura del guard del frontend.</w:t>
      </w:r>
    </w:p>
    <w:p>
      <w:pPr>
        <w:pStyle w:val="Normal"/>
        <w:bidi w:val="0"/>
        <w:jc w:val="center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9770"/>
            <wp:effectExtent l="0" t="0" r="0" b="0"/>
            <wp:wrapSquare wrapText="largest"/>
            <wp:docPr id="2" name="img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3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/>
      </w:pPr>
      <w:r>
        <w:rPr/>
        <w:t>TC-34: captura del guard del frontend.</w:t>
      </w:r>
    </w:p>
    <w:p>
      <w:pPr>
        <w:pStyle w:val="Normal"/>
        <w:bidi w:val="0"/>
        <w:jc w:val="center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9770"/>
            <wp:effectExtent l="0" t="0" r="0" b="0"/>
            <wp:wrapSquare wrapText="largest"/>
            <wp:docPr id="3" name="img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3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/>
      </w:pPr>
      <w:r>
        <w:rPr/>
        <w:t>TC-35: captura del guard del frontend.</w:t>
      </w:r>
    </w:p>
    <w:p>
      <w:pPr>
        <w:pStyle w:val="Normal"/>
        <w:bidi w:val="0"/>
        <w:jc w:val="center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9770"/>
            <wp:effectExtent l="0" t="0" r="0" b="0"/>
            <wp:wrapSquare wrapText="largest"/>
            <wp:docPr id="4" name="img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3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/>
      </w:pPr>
      <w:r>
        <w:rPr/>
        <w:t>TC-36: captura del guard del frontend.</w:t>
      </w:r>
    </w:p>
    <w:p>
      <w:pPr>
        <w:pStyle w:val="Normal"/>
        <w:bidi w:val="0"/>
        <w:jc w:val="center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9770"/>
            <wp:effectExtent l="0" t="0" r="0" b="0"/>
            <wp:wrapSquare wrapText="largest"/>
            <wp:docPr id="5" name="img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3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/>
      </w:pPr>
      <w:r>
        <w:rPr/>
        <w:t>TC-37: captura del guard del frontend.</w:t>
      </w:r>
    </w:p>
    <w:p>
      <w:pPr>
        <w:pStyle w:val="Normal"/>
        <w:bidi w:val="0"/>
        <w:jc w:val="center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9770"/>
            <wp:effectExtent l="0" t="0" r="0" b="0"/>
            <wp:wrapSquare wrapText="largest"/>
            <wp:docPr id="6" name="img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3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/>
      </w:pPr>
      <w:r>
        <w:rPr/>
        <w:t>TC-38: captura del guard del frontend.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tarbat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4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color w:val="000000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2"/>
      <w:lang w:val="es-MX" w:eastAsia="zh-CN" w:bidi="hi-IN"/>
    </w:rPr>
  </w:style>
  <w:style w:type="character" w:styleId="NumberingSymbols">
    <w:name w:val="Numbering Symbols"/>
    <w:qFormat/>
    <w:rPr/>
  </w:style>
  <w:style w:type="paragraph" w:styleId="Heading201">
    <w:name w:val="Heading_201"/>
    <w:qFormat/>
    <w:pPr>
      <w:widowControl w:val="false"/>
      <w:bidi w:val="0"/>
      <w:jc w:val="center"/>
    </w:pPr>
    <w:rPr>
      <w:sz w:val="36"/>
      <w:lang w:val="es-MX" w:eastAsia="zh-CN" w:bidi="hi-IN"/>
    </w:rPr>
  </w:style>
  <w:style w:type="paragraph" w:styleId="Heading202">
    <w:name w:val="Heading_202"/>
    <w:qFormat/>
    <w:pPr>
      <w:widowControl w:val="false"/>
      <w:bidi w:val="0"/>
    </w:pPr>
    <w:rPr>
      <w:sz w:val="30"/>
      <w:lang w:val="es-MX" w:eastAsia="zh-CN" w:bidi="hi-IN"/>
    </w:rPr>
  </w:style>
  <w:style w:type="paragraph" w:styleId="Heading203">
    <w:name w:val="Heading_203"/>
    <w:qFormat/>
    <w:pPr>
      <w:widowControl w:val="false"/>
      <w:bidi w:val="0"/>
    </w:pPr>
    <w:rPr>
      <w:sz w:val="24"/>
      <w:lang w:val="es-MX" w:eastAsia="zh-CN" w:bidi="hi-IN"/>
    </w:rPr>
  </w:style>
  <w:style w:type="paragraph" w:styleId="Quotations201">
    <w:name w:val="Quotations_201"/>
    <w:qFormat/>
    <w:pPr>
      <w:widowControl w:val="false"/>
      <w:bidi w:val="0"/>
      <w:ind w:left="567"/>
    </w:pPr>
    <w:rPr>
      <w:i/>
      <w:sz w:val="24"/>
      <w:lang w:val="es-MX" w:eastAsia="zh-CN" w:bidi="hi-IN"/>
    </w:rPr>
  </w:style>
  <w:style w:type="paragraph" w:styleId="TCellText">
    <w:name w:val="TCellText"/>
    <w:qFormat/>
    <w:pPr>
      <w:widowControl w:val="false"/>
      <w:bidi w:val="0"/>
    </w:pPr>
    <w:rPr>
      <w:sz w:val="18"/>
      <w:lang w:val="es-MX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2.png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LibreOffice_project/bf8adb135da2784a1be3ca33001278b7a20af5c1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es-MX</dc:language>
  <cp:lastModifiedBy/>
  <cp:revision>0</cp:revision>
  <dc:subject/>
  <dc:title/>
</cp:coreProperties>
</file>