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Reporte de viabilidad: integración de las funciones de la Práctica 5 (WatchControl) y la Práctica 6 (FitSync) en el proyecto principal Labandera</w:t>
      </w:r>
    </w:p>
    <w:p>
      <w:pPr>
        <w:pStyle w:val="BodyText"/>
        <w:bidi w:val="0"/>
        <w:spacing w:before="0" w:after="283"/>
        <w:rPr/>
      </w:pPr>
      <w:r>
        <w:rPr>
          <w:b/>
        </w:rPr>
        <w:t>Fecha:</w:t>
      </w:r>
      <w:r>
        <w:rPr/>
        <w:t xml:space="preserve"> 2025  |  </w:t>
      </w:r>
      <w:r>
        <w:rPr>
          <w:b/>
        </w:rPr>
        <w:t>Alcance:</w:t>
      </w:r>
      <w:r>
        <w:rPr/>
        <w:t xml:space="preserve"> evaluación técnica de integrar las funcionalidades de las prácticas 5 y 6 dentro del repositorio principal de Labandera (sitio de noticias + backend + app Wear OS de 2FA).</w:t>
      </w:r>
    </w:p>
    <w:p>
      <w:pPr>
        <w:pStyle w:val="Heading2"/>
        <w:numPr>
          <w:ilvl w:val="0"/>
          <w:numId w:val="0"/>
        </w:numPr>
        <w:pBdr>
          <w:bottom w:val="single" w:sz="12" w:space="3" w:color="4FC3F7"/>
        </w:pBdr>
        <w:bidi w:val="0"/>
        <w:spacing w:before="300" w:after="120"/>
        <w:rPr/>
      </w:pPr>
      <w:r>
        <w:rPr/>
        <w:t>1. Resumen ejecutivo</w:t>
      </w:r>
    </w:p>
    <w:p>
      <w:pPr>
        <w:pStyle w:val="BodyText"/>
        <w:bidi w:val="0"/>
        <w:spacing w:before="180" w:after="180"/>
        <w:ind w:hanging="0" w:start="180" w:end="180"/>
        <w:rPr>
          <w:bdr w:val="single" w:sz="2" w:space="8" w:color="DD9999"/>
          <w:shd w:fill="FFF3F3" w:val="clear"/>
        </w:rPr>
      </w:pPr>
      <w:r>
        <w:rPr>
          <w:b/>
          <w:bdr w:val="single" w:sz="2" w:space="8" w:color="DD9999"/>
          <w:shd w:fill="FFF3F3" w:val="clear"/>
        </w:rPr>
        <w:t>Veredicto: NO es viable la integración funcional.</w:t>
      </w:r>
      <w:r>
        <w:rPr>
          <w:bdr w:val="single" w:sz="2" w:space="8" w:color="DD9999"/>
          <w:shd w:fill="FFF3F3" w:val="clear"/>
        </w:rPr>
        <w:br/>
        <w:t xml:space="preserve">Las funciones de la Práctica 5 (comandos de entrenamiento bidireccionales) y la Práctica 6 (sincronización de actividad física) </w:t>
      </w:r>
      <w:r>
        <w:rPr>
          <w:b/>
          <w:bdr w:val="single" w:sz="2" w:space="8" w:color="DD9999"/>
          <w:shd w:fill="FFF3F3" w:val="clear"/>
        </w:rPr>
        <w:t>no aportan nada al flujo de autenticación</w:t>
      </w:r>
      <w:r>
        <w:rPr>
          <w:bdr w:val="single" w:sz="2" w:space="8" w:color="DD9999"/>
          <w:shd w:fill="FFF3F3" w:val="clear"/>
        </w:rPr>
        <w:t xml:space="preserve"> del proyecto principal y </w:t>
      </w:r>
      <w:r>
        <w:rPr>
          <w:b/>
          <w:bdr w:val="single" w:sz="2" w:space="8" w:color="DD9999"/>
          <w:shd w:fill="FFF3F3" w:val="clear"/>
        </w:rPr>
        <w:t>no comparten dominio de datos</w:t>
      </w:r>
      <w:r>
        <w:rPr>
          <w:bdr w:val="single" w:sz="2" w:space="8" w:color="DD9999"/>
          <w:shd w:fill="FFF3F3" w:val="clear"/>
        </w:rPr>
        <w:t xml:space="preserve"> con él. Si se mantienen como módulos aislados, tampoco entorpecen la autenticación; el único escenario en el que sí la entorpecerían es forzarlas dentro del camino de 2FA, lo cual agrega una dependencia de Bluetooth y un salto extra sin ninguna ganancia de seguridad. </w:t>
      </w:r>
    </w:p>
    <w:p>
      <w:pPr>
        <w:pStyle w:val="Heading2"/>
        <w:numPr>
          <w:ilvl w:val="0"/>
          <w:numId w:val="0"/>
        </w:numPr>
        <w:pBdr>
          <w:bottom w:val="single" w:sz="12" w:space="3" w:color="4FC3F7"/>
        </w:pBdr>
        <w:bidi w:val="0"/>
        <w:spacing w:before="300" w:after="120"/>
        <w:rPr/>
      </w:pPr>
      <w:r>
        <w:rPr/>
        <w:t>2. Contexto</w:t>
      </w:r>
    </w:p>
    <w:p>
      <w:pPr>
        <w:pStyle w:val="Heading3"/>
        <w:numPr>
          <w:ilvl w:val="0"/>
          <w:numId w:val="0"/>
        </w:numPr>
        <w:bidi w:val="0"/>
        <w:spacing w:before="210" w:after="120"/>
        <w:rPr/>
      </w:pPr>
      <w:r>
        <w:rPr/>
        <w:t>2.1. Proyecto principal (Labandera)</w:t>
      </w:r>
    </w:p>
    <w:tbl>
      <w:tblPr>
        <w:tblW w:w="10205" w:type="dxa"/>
        <w:jc w:val="start"/>
        <w:tblInd w:w="0" w:type="dxa"/>
        <w:tblLayout w:type="fixed"/>
        <w:tblCellMar>
          <w:top w:w="28" w:type="dxa"/>
          <w:start w:w="28" w:type="dxa"/>
          <w:bottom w:w="28" w:type="dxa"/>
          <w:end w:w="28" w:type="dxa"/>
        </w:tblCellMar>
      </w:tblPr>
      <w:tblGrid>
        <w:gridCol w:w="1836"/>
        <w:gridCol w:w="2344"/>
        <w:gridCol w:w="6025"/>
      </w:tblGrid>
      <w:tr>
        <w:trPr/>
        <w:tc>
          <w:tcPr>
            <w:tcW w:w="1836" w:type="dxa"/>
            <w:tcBorders/>
            <w:vAlign w:val="center"/>
          </w:tcPr>
          <w:p>
            <w:pPr>
              <w:pStyle w:val="TableHeading"/>
              <w:suppressLineNumbers/>
              <w:bidi w:val="0"/>
              <w:spacing w:before="0" w:after="283"/>
              <w:jc w:val="start"/>
              <w:rPr/>
            </w:pPr>
            <w:r>
              <w:rPr/>
              <w:t>Módulo</w:t>
            </w:r>
          </w:p>
        </w:tc>
        <w:tc>
          <w:tcPr>
            <w:tcW w:w="2344" w:type="dxa"/>
            <w:tcBorders/>
            <w:vAlign w:val="center"/>
          </w:tcPr>
          <w:p>
            <w:pPr>
              <w:pStyle w:val="TableHeading"/>
              <w:suppressLineNumbers/>
              <w:bidi w:val="0"/>
              <w:spacing w:before="0" w:after="283"/>
              <w:jc w:val="start"/>
              <w:rPr/>
            </w:pPr>
            <w:r>
              <w:rPr/>
              <w:t>Tecnología</w:t>
            </w:r>
          </w:p>
        </w:tc>
        <w:tc>
          <w:tcPr>
            <w:tcW w:w="6025" w:type="dxa"/>
            <w:tcBorders/>
            <w:vAlign w:val="center"/>
          </w:tcPr>
          <w:p>
            <w:pPr>
              <w:pStyle w:val="TableHeading"/>
              <w:suppressLineNumbers/>
              <w:bidi w:val="0"/>
              <w:spacing w:before="0" w:after="283"/>
              <w:jc w:val="start"/>
              <w:rPr/>
            </w:pPr>
            <w:r>
              <w:rPr/>
              <w:t>Función</w:t>
            </w:r>
          </w:p>
        </w:tc>
      </w:tr>
      <w:tr>
        <w:trPr/>
        <w:tc>
          <w:tcPr>
            <w:tcW w:w="1836" w:type="dxa"/>
            <w:tcBorders/>
            <w:vAlign w:val="center"/>
          </w:tcPr>
          <w:p>
            <w:pPr>
              <w:pStyle w:val="TableContents"/>
              <w:bidi w:val="0"/>
              <w:spacing w:before="0" w:after="283"/>
              <w:jc w:val="start"/>
              <w:rPr/>
            </w:pPr>
            <w:r>
              <w:rPr>
                <w:rStyle w:val="SourceText"/>
              </w:rPr>
              <w:t>backend/</w:t>
            </w:r>
          </w:p>
        </w:tc>
        <w:tc>
          <w:tcPr>
            <w:tcW w:w="2344" w:type="dxa"/>
            <w:tcBorders/>
            <w:vAlign w:val="center"/>
          </w:tcPr>
          <w:p>
            <w:pPr>
              <w:pStyle w:val="TableContents"/>
              <w:bidi w:val="0"/>
              <w:spacing w:before="0" w:after="283"/>
              <w:jc w:val="start"/>
              <w:rPr/>
            </w:pPr>
            <w:r>
              <w:rPr/>
              <w:t>Express + Prisma (PostgreSQL)</w:t>
            </w:r>
          </w:p>
        </w:tc>
        <w:tc>
          <w:tcPr>
            <w:tcW w:w="6025" w:type="dxa"/>
            <w:tcBorders/>
            <w:vAlign w:val="center"/>
          </w:tcPr>
          <w:p>
            <w:pPr>
              <w:pStyle w:val="TableContents"/>
              <w:bidi w:val="0"/>
              <w:spacing w:before="0" w:after="283"/>
              <w:jc w:val="start"/>
              <w:rPr/>
            </w:pPr>
            <w:r>
              <w:rPr/>
              <w:t>API REST: autenticación (JWT), 2FA/TOTP, noticias, categorías, imágenes</w:t>
            </w:r>
          </w:p>
        </w:tc>
      </w:tr>
      <w:tr>
        <w:trPr/>
        <w:tc>
          <w:tcPr>
            <w:tcW w:w="1836" w:type="dxa"/>
            <w:tcBorders/>
            <w:vAlign w:val="center"/>
          </w:tcPr>
          <w:p>
            <w:pPr>
              <w:pStyle w:val="TableContents"/>
              <w:bidi w:val="0"/>
              <w:spacing w:before="0" w:after="283"/>
              <w:jc w:val="start"/>
              <w:rPr/>
            </w:pPr>
            <w:r>
              <w:rPr>
                <w:rStyle w:val="SourceText"/>
              </w:rPr>
              <w:t>frontend/</w:t>
            </w:r>
          </w:p>
        </w:tc>
        <w:tc>
          <w:tcPr>
            <w:tcW w:w="2344" w:type="dxa"/>
            <w:tcBorders/>
            <w:vAlign w:val="center"/>
          </w:tcPr>
          <w:p>
            <w:pPr>
              <w:pStyle w:val="TableContents"/>
              <w:bidi w:val="0"/>
              <w:spacing w:before="0" w:after="283"/>
              <w:jc w:val="start"/>
              <w:rPr/>
            </w:pPr>
            <w:r>
              <w:rPr/>
              <w:t>SPA React + Vite + Tailwind</w:t>
            </w:r>
          </w:p>
        </w:tc>
        <w:tc>
          <w:tcPr>
            <w:tcW w:w="6025" w:type="dxa"/>
            <w:tcBorders/>
            <w:vAlign w:val="center"/>
          </w:tcPr>
          <w:p>
            <w:pPr>
              <w:pStyle w:val="TableContents"/>
              <w:bidi w:val="0"/>
              <w:spacing w:before="0" w:after="283"/>
              <w:jc w:val="start"/>
              <w:rPr/>
            </w:pPr>
            <w:r>
              <w:rPr/>
              <w:t>Interfaz web (login, registro, secciones, seguridad)</w:t>
            </w:r>
          </w:p>
        </w:tc>
      </w:tr>
      <w:tr>
        <w:trPr/>
        <w:tc>
          <w:tcPr>
            <w:tcW w:w="1836" w:type="dxa"/>
            <w:tcBorders/>
            <w:vAlign w:val="center"/>
          </w:tcPr>
          <w:p>
            <w:pPr>
              <w:pStyle w:val="TableContents"/>
              <w:bidi w:val="0"/>
              <w:spacing w:before="0" w:after="283"/>
              <w:jc w:val="start"/>
              <w:rPr/>
            </w:pPr>
            <w:r>
              <w:rPr>
                <w:rStyle w:val="SourceText"/>
              </w:rPr>
              <w:t>wear-app/</w:t>
            </w:r>
          </w:p>
        </w:tc>
        <w:tc>
          <w:tcPr>
            <w:tcW w:w="2344" w:type="dxa"/>
            <w:tcBorders/>
            <w:vAlign w:val="center"/>
          </w:tcPr>
          <w:p>
            <w:pPr>
              <w:pStyle w:val="TableContents"/>
              <w:bidi w:val="0"/>
              <w:spacing w:before="0" w:after="283"/>
              <w:jc w:val="start"/>
              <w:rPr/>
            </w:pPr>
            <w:r>
              <w:rPr/>
              <w:t>Wear OS (Kotlin, AGP 8.5.2)</w:t>
            </w:r>
          </w:p>
        </w:tc>
        <w:tc>
          <w:tcPr>
            <w:tcW w:w="6025" w:type="dxa"/>
            <w:tcBorders/>
            <w:vAlign w:val="center"/>
          </w:tcPr>
          <w:p>
            <w:pPr>
              <w:pStyle w:val="TableContents"/>
              <w:bidi w:val="0"/>
              <w:spacing w:before="0" w:after="283"/>
              <w:jc w:val="start"/>
              <w:rPr/>
            </w:pPr>
            <w:r>
              <w:rPr/>
              <w:t xml:space="preserve">2FA/TOTP en smartwatch: escanea QR </w:t>
            </w:r>
            <w:r>
              <w:rPr>
                <w:rStyle w:val="SourceText"/>
              </w:rPr>
              <w:t>otpauth://</w:t>
            </w:r>
            <w:r>
              <w:rPr/>
              <w:t>, genera código de 6 dígitos (RFC 6238)</w:t>
            </w:r>
          </w:p>
        </w:tc>
      </w:tr>
      <w:tr>
        <w:trPr/>
        <w:tc>
          <w:tcPr>
            <w:tcW w:w="1836" w:type="dxa"/>
            <w:tcBorders/>
            <w:vAlign w:val="center"/>
          </w:tcPr>
          <w:p>
            <w:pPr>
              <w:pStyle w:val="TableContents"/>
              <w:bidi w:val="0"/>
              <w:spacing w:before="0" w:after="283"/>
              <w:jc w:val="start"/>
              <w:rPr/>
            </w:pPr>
            <w:r>
              <w:rPr>
                <w:rStyle w:val="SourceText"/>
              </w:rPr>
              <w:t>smart_room_app/</w:t>
            </w:r>
          </w:p>
        </w:tc>
        <w:tc>
          <w:tcPr>
            <w:tcW w:w="2344" w:type="dxa"/>
            <w:tcBorders/>
            <w:vAlign w:val="center"/>
          </w:tcPr>
          <w:p>
            <w:pPr>
              <w:pStyle w:val="TableContents"/>
              <w:bidi w:val="0"/>
              <w:spacing w:before="0" w:after="283"/>
              <w:jc w:val="start"/>
              <w:rPr/>
            </w:pPr>
            <w:r>
              <w:rPr/>
              <w:t>Flutter</w:t>
            </w:r>
          </w:p>
        </w:tc>
        <w:tc>
          <w:tcPr>
            <w:tcW w:w="6025" w:type="dxa"/>
            <w:tcBorders/>
            <w:vAlign w:val="center"/>
          </w:tcPr>
          <w:p>
            <w:pPr>
              <w:pStyle w:val="TableContents"/>
              <w:bidi w:val="0"/>
              <w:spacing w:before="0" w:after="283"/>
              <w:jc w:val="start"/>
              <w:rPr/>
            </w:pPr>
            <w:r>
              <w:rPr/>
              <w:t>Proyecto aparte (sin relación con auth)</w:t>
            </w:r>
          </w:p>
        </w:tc>
      </w:tr>
    </w:tbl>
    <w:p>
      <w:pPr>
        <w:pStyle w:val="Heading3"/>
        <w:numPr>
          <w:ilvl w:val="0"/>
          <w:numId w:val="0"/>
        </w:numPr>
        <w:bidi w:val="0"/>
        <w:spacing w:before="210" w:after="120"/>
        <w:rPr/>
      </w:pPr>
      <w:r>
        <w:rPr/>
        <w:t>2.2. Práctica 5 — WatchControl</w:t>
      </w:r>
    </w:p>
    <w:p>
      <w:pPr>
        <w:pStyle w:val="BodyText"/>
        <w:bidi w:val="0"/>
        <w:spacing w:before="0" w:after="283"/>
        <w:rPr/>
      </w:pPr>
      <w:r>
        <w:rPr/>
        <w:t xml:space="preserve">App Android (teléfono) + app Wear OS que intercambian </w:t>
      </w:r>
      <w:r>
        <w:rPr>
          <w:b/>
        </w:rPr>
        <w:t>comandos de entrenamiento</w:t>
      </w:r>
      <w:r>
        <w:rPr/>
        <w:t xml:space="preserve"> (</w:t>
      </w:r>
      <w:r>
        <w:rPr>
          <w:rStyle w:val="SourceText"/>
        </w:rPr>
        <w:t>START</w:t>
      </w:r>
      <w:r>
        <w:rPr/>
        <w:t xml:space="preserve">, </w:t>
      </w:r>
      <w:r>
        <w:rPr>
          <w:rStyle w:val="SourceText"/>
        </w:rPr>
        <w:t>PAUSE</w:t>
      </w:r>
      <w:r>
        <w:rPr/>
        <w:t xml:space="preserve">, </w:t>
      </w:r>
      <w:r>
        <w:rPr>
          <w:rStyle w:val="SourceText"/>
        </w:rPr>
        <w:t>STOP</w:t>
      </w:r>
      <w:r>
        <w:rPr/>
        <w:t xml:space="preserve">) por el </w:t>
      </w:r>
      <w:r>
        <w:rPr>
          <w:b/>
        </w:rPr>
        <w:t>Wearable Data Layer</w:t>
      </w:r>
      <w:r>
        <w:rPr/>
        <w:t xml:space="preserve"> (</w:t>
      </w:r>
      <w:r>
        <w:rPr>
          <w:rStyle w:val="SourceText"/>
        </w:rPr>
        <w:t>MessageClient</w:t>
      </w:r>
      <w:r>
        <w:rPr/>
        <w:t xml:space="preserve">). El teléfono envía por </w:t>
      </w:r>
      <w:r>
        <w:rPr>
          <w:rStyle w:val="SourceText"/>
        </w:rPr>
        <w:t>/training</w:t>
      </w:r>
      <w:r>
        <w:rPr/>
        <w:t xml:space="preserve"> y el reloj confirma por </w:t>
      </w:r>
      <w:r>
        <w:rPr>
          <w:rStyle w:val="SourceText"/>
        </w:rPr>
        <w:t>/training/ack</w:t>
      </w:r>
      <w:r>
        <w:rPr/>
        <w:t>.</w:t>
      </w:r>
    </w:p>
    <w:p>
      <w:pPr>
        <w:pStyle w:val="Heading3"/>
        <w:numPr>
          <w:ilvl w:val="0"/>
          <w:numId w:val="0"/>
        </w:numPr>
        <w:bidi w:val="0"/>
        <w:spacing w:before="210" w:after="120"/>
        <w:rPr/>
      </w:pPr>
      <w:r>
        <w:rPr/>
        <w:t>2.3. Práctica 6 — FitSync</w:t>
      </w:r>
    </w:p>
    <w:p>
      <w:pPr>
        <w:pStyle w:val="BodyText"/>
        <w:bidi w:val="0"/>
        <w:spacing w:before="0" w:after="283"/>
        <w:rPr/>
      </w:pPr>
      <w:r>
        <w:rPr/>
        <w:t xml:space="preserve">App Wear OS + app Android que sincronizan </w:t>
      </w:r>
      <w:r>
        <w:rPr>
          <w:b/>
        </w:rPr>
        <w:t>registros de actividad física simulados</w:t>
      </w:r>
      <w:r>
        <w:rPr/>
        <w:t xml:space="preserve"> (</w:t>
      </w:r>
      <w:r>
        <w:rPr>
          <w:rStyle w:val="SourceText"/>
        </w:rPr>
        <w:t>ActivityRecord</w:t>
      </w:r>
      <w:r>
        <w:rPr/>
        <w:t xml:space="preserve">: id, timestamp, HR, pasos, duración) por el </w:t>
      </w:r>
      <w:r>
        <w:rPr>
          <w:b/>
        </w:rPr>
        <w:t>Wearable Data Layer</w:t>
      </w:r>
      <w:r>
        <w:rPr/>
        <w:t xml:space="preserve">. El reloj envía por </w:t>
      </w:r>
      <w:r>
        <w:rPr>
          <w:rStyle w:val="SourceText"/>
        </w:rPr>
        <w:t>/activity</w:t>
      </w:r>
      <w:r>
        <w:rPr/>
        <w:t>; el teléfono valida, detecta duplicados y persiste en un historial local.</w:t>
      </w:r>
    </w:p>
    <w:p>
      <w:pPr>
        <w:pStyle w:val="Heading2"/>
        <w:numPr>
          <w:ilvl w:val="0"/>
          <w:numId w:val="0"/>
        </w:numPr>
        <w:pBdr>
          <w:bottom w:val="single" w:sz="12" w:space="3" w:color="4FC3F7"/>
        </w:pBdr>
        <w:bidi w:val="0"/>
        <w:spacing w:before="300" w:after="120"/>
        <w:rPr/>
      </w:pPr>
      <w:r>
        <w:rPr/>
        <w:t>3. Análisis de viabilidad</w:t>
      </w:r>
    </w:p>
    <w:p>
      <w:pPr>
        <w:pStyle w:val="Heading3"/>
        <w:numPr>
          <w:ilvl w:val="0"/>
          <w:numId w:val="0"/>
        </w:numPr>
        <w:bidi w:val="0"/>
        <w:spacing w:before="210" w:after="120"/>
        <w:rPr/>
      </w:pPr>
      <w:r>
        <w:rPr/>
        <w:t>3.1. Requisito técnico del Wearable Data Layer</w:t>
      </w:r>
    </w:p>
    <w:p>
      <w:pPr>
        <w:pStyle w:val="BodyText"/>
        <w:bidi w:val="0"/>
        <w:spacing w:before="0" w:after="283"/>
        <w:rPr/>
      </w:pPr>
      <w:r>
        <w:rPr/>
        <w:t xml:space="preserve">La </w:t>
      </w:r>
      <w:r>
        <w:rPr>
          <w:i/>
        </w:rPr>
        <w:t>Wearable Data Layer</w:t>
      </w:r>
      <w:r>
        <w:rPr/>
        <w:t xml:space="preserve"> (</w:t>
      </w:r>
      <w:r>
        <w:rPr>
          <w:rStyle w:val="SourceText"/>
        </w:rPr>
        <w:t>com.google.android.gms:play-services-wearable</w:t>
      </w:r>
      <w:r>
        <w:rPr/>
        <w:t xml:space="preserve">) exige </w:t>
      </w:r>
      <w:r>
        <w:rPr>
          <w:b/>
        </w:rPr>
        <w:t>dos nodos Android nativos vinculados</w:t>
      </w:r>
      <w:r>
        <w:rPr/>
        <w:t xml:space="preserve">: un dispositivo móvil (teléfono) y un dispositivo Wear OS. Ambos deben ejecutar apps nativas que instancien </w:t>
      </w:r>
      <w:r>
        <w:rPr>
          <w:rStyle w:val="SourceText"/>
        </w:rPr>
        <w:t>MessageClient</w:t>
      </w:r>
      <w:r>
        <w:rPr/>
        <w:t xml:space="preserve"> / </w:t>
      </w:r>
      <w:r>
        <w:rPr>
          <w:rStyle w:val="SourceText"/>
        </w:rPr>
        <w:t>NodeClient</w:t>
      </w:r>
      <w:r>
        <w:rPr/>
        <w:t>.</w:t>
      </w:r>
    </w:p>
    <w:p>
      <w:pPr>
        <w:pStyle w:val="BodyText"/>
        <w:bidi w:val="0"/>
        <w:spacing w:before="0" w:after="283"/>
        <w:rPr/>
      </w:pPr>
      <w:r>
        <w:rPr/>
        <w:t xml:space="preserve">El "lado móvil" del proyecto principal es una </w:t>
      </w:r>
      <w:r>
        <w:rPr>
          <w:b/>
        </w:rPr>
        <w:t>SPA web</w:t>
      </w:r>
      <w:r>
        <w:rPr/>
        <w:t xml:space="preserve"> (React/Vite). Una aplicación web </w:t>
      </w:r>
      <w:r>
        <w:rPr>
          <w:b/>
        </w:rPr>
        <w:t>no puede ser nodo del Wearable Data Layer</w:t>
      </w:r>
      <w:r>
        <w:rPr/>
        <w:t>: no existe en el repositorio ninguna app Android de teléfono que pueda ser el par del reloj. Este es el obstáculo estructural principal.</w:t>
      </w:r>
    </w:p>
    <w:p>
      <w:pPr>
        <w:pStyle w:val="Heading3"/>
        <w:numPr>
          <w:ilvl w:val="0"/>
          <w:numId w:val="0"/>
        </w:numPr>
        <w:bidi w:val="0"/>
        <w:spacing w:before="210" w:after="120"/>
        <w:rPr/>
      </w:pPr>
      <w:r>
        <w:rPr/>
        <w:t>3.2. Ausencia de un par de teléfono</w:t>
      </w:r>
    </w:p>
    <w:p>
      <w:pPr>
        <w:pStyle w:val="BodyText"/>
        <w:bidi w:val="0"/>
        <w:spacing w:before="0" w:after="283"/>
        <w:rPr/>
      </w:pPr>
      <w:r>
        <w:rPr/>
        <w:t xml:space="preserve">El módulo </w:t>
      </w:r>
      <w:r>
        <w:rPr>
          <w:rStyle w:val="SourceText"/>
        </w:rPr>
        <w:t>wear-app/</w:t>
      </w:r>
      <w:r>
        <w:rPr/>
        <w:t xml:space="preserve"> actual es una app Wear OS </w:t>
      </w:r>
      <w:r>
        <w:rPr>
          <w:b/>
        </w:rPr>
        <w:t>aislada</w:t>
      </w:r>
      <w:r>
        <w:rPr/>
        <w:t xml:space="preserve"> (2FA). No existe una app de teléfono emparejada que le envíe comandos ni reciba datos. Para las prácticas 5 y 6 sería necesario </w:t>
      </w:r>
      <w:r>
        <w:rPr>
          <w:b/>
        </w:rPr>
        <w:t>crear desde cero</w:t>
      </w:r>
      <w:r>
        <w:rPr/>
        <w:t xml:space="preserve"> el lado de teléfono (un nuevo módulo </w:t>
      </w:r>
      <w:r>
        <w:rPr>
          <w:rStyle w:val="SourceText"/>
        </w:rPr>
        <w:t>phone-app</w:t>
      </w:r>
      <w:r>
        <w:rPr/>
        <w:t xml:space="preserve"> nativo), que no existe hoy en el proyecto.</w:t>
      </w:r>
    </w:p>
    <w:p>
      <w:pPr>
        <w:pStyle w:val="Heading3"/>
        <w:numPr>
          <w:ilvl w:val="0"/>
          <w:numId w:val="0"/>
        </w:numPr>
        <w:bidi w:val="0"/>
        <w:spacing w:before="210" w:after="120"/>
        <w:rPr/>
      </w:pPr>
      <w:r>
        <w:rPr/>
        <w:t>3.3. Ausencia de relación de dominio de datos</w:t>
      </w:r>
    </w:p>
    <w:tbl>
      <w:tblPr>
        <w:tblW w:w="10020" w:type="dxa"/>
        <w:jc w:val="start"/>
        <w:tblInd w:w="0" w:type="dxa"/>
        <w:tblLayout w:type="fixed"/>
        <w:tblCellMar>
          <w:top w:w="28" w:type="dxa"/>
          <w:start w:w="28" w:type="dxa"/>
          <w:bottom w:w="28" w:type="dxa"/>
          <w:end w:w="28" w:type="dxa"/>
        </w:tblCellMar>
      </w:tblPr>
      <w:tblGrid>
        <w:gridCol w:w="1772"/>
        <w:gridCol w:w="4829"/>
        <w:gridCol w:w="3419"/>
      </w:tblGrid>
      <w:tr>
        <w:trPr/>
        <w:tc>
          <w:tcPr>
            <w:tcW w:w="1772" w:type="dxa"/>
            <w:tcBorders/>
            <w:vAlign w:val="center"/>
          </w:tcPr>
          <w:p>
            <w:pPr>
              <w:pStyle w:val="TableHeading"/>
              <w:suppressLineNumbers/>
              <w:bidi w:val="0"/>
              <w:spacing w:before="0" w:after="283"/>
              <w:jc w:val="start"/>
              <w:rPr/>
            </w:pPr>
            <w:r>
              <w:rPr/>
              <w:t>Funcionalidad</w:t>
            </w:r>
          </w:p>
        </w:tc>
        <w:tc>
          <w:tcPr>
            <w:tcW w:w="4829" w:type="dxa"/>
            <w:tcBorders/>
            <w:vAlign w:val="center"/>
          </w:tcPr>
          <w:p>
            <w:pPr>
              <w:pStyle w:val="TableHeading"/>
              <w:suppressLineNumbers/>
              <w:bidi w:val="0"/>
              <w:spacing w:before="0" w:after="283"/>
              <w:jc w:val="start"/>
              <w:rPr/>
            </w:pPr>
            <w:r>
              <w:rPr/>
              <w:t>Datos involucrados</w:t>
            </w:r>
          </w:p>
        </w:tc>
        <w:tc>
          <w:tcPr>
            <w:tcW w:w="3419" w:type="dxa"/>
            <w:tcBorders/>
            <w:vAlign w:val="center"/>
          </w:tcPr>
          <w:p>
            <w:pPr>
              <w:pStyle w:val="TableHeading"/>
              <w:suppressLineNumbers/>
              <w:bidi w:val="0"/>
              <w:spacing w:before="0" w:after="283"/>
              <w:jc w:val="start"/>
              <w:rPr/>
            </w:pPr>
            <w:r>
              <w:rPr/>
              <w:t>Relación con el proyecto principal</w:t>
            </w:r>
          </w:p>
        </w:tc>
      </w:tr>
      <w:tr>
        <w:trPr/>
        <w:tc>
          <w:tcPr>
            <w:tcW w:w="1772" w:type="dxa"/>
            <w:tcBorders/>
            <w:vAlign w:val="center"/>
          </w:tcPr>
          <w:p>
            <w:pPr>
              <w:pStyle w:val="TableContents"/>
              <w:bidi w:val="0"/>
              <w:spacing w:before="0" w:after="283"/>
              <w:jc w:val="start"/>
              <w:rPr/>
            </w:pPr>
            <w:r>
              <w:rPr/>
              <w:t>Práctica 5</w:t>
            </w:r>
          </w:p>
        </w:tc>
        <w:tc>
          <w:tcPr>
            <w:tcW w:w="4829" w:type="dxa"/>
            <w:tcBorders/>
            <w:vAlign w:val="center"/>
          </w:tcPr>
          <w:p>
            <w:pPr>
              <w:pStyle w:val="TableContents"/>
              <w:bidi w:val="0"/>
              <w:spacing w:before="0" w:after="283"/>
              <w:jc w:val="start"/>
              <w:rPr/>
            </w:pPr>
            <w:r>
              <w:rPr/>
              <w:t>Comandos de entrenamiento (</w:t>
            </w:r>
            <w:r>
              <w:rPr>
                <w:rStyle w:val="SourceText"/>
              </w:rPr>
              <w:t>START/PAUSE/STOP</w:t>
            </w:r>
            <w:r>
              <w:rPr/>
              <w:t>)</w:t>
            </w:r>
          </w:p>
        </w:tc>
        <w:tc>
          <w:tcPr>
            <w:tcW w:w="3419" w:type="dxa"/>
            <w:tcBorders/>
            <w:vAlign w:val="center"/>
          </w:tcPr>
          <w:p>
            <w:pPr>
              <w:pStyle w:val="TableContents"/>
              <w:bidi w:val="0"/>
              <w:spacing w:before="0" w:after="283"/>
              <w:jc w:val="start"/>
              <w:rPr/>
            </w:pPr>
            <w:r>
              <w:rPr/>
              <w:t>Ninguna</w:t>
            </w:r>
          </w:p>
        </w:tc>
      </w:tr>
      <w:tr>
        <w:trPr/>
        <w:tc>
          <w:tcPr>
            <w:tcW w:w="1772" w:type="dxa"/>
            <w:tcBorders/>
            <w:vAlign w:val="center"/>
          </w:tcPr>
          <w:p>
            <w:pPr>
              <w:pStyle w:val="TableContents"/>
              <w:bidi w:val="0"/>
              <w:spacing w:before="0" w:after="283"/>
              <w:jc w:val="start"/>
              <w:rPr/>
            </w:pPr>
            <w:r>
              <w:rPr/>
              <w:t>Práctica 6</w:t>
            </w:r>
          </w:p>
        </w:tc>
        <w:tc>
          <w:tcPr>
            <w:tcW w:w="4829" w:type="dxa"/>
            <w:tcBorders/>
            <w:vAlign w:val="center"/>
          </w:tcPr>
          <w:p>
            <w:pPr>
              <w:pStyle w:val="TableContents"/>
              <w:bidi w:val="0"/>
              <w:spacing w:before="0" w:after="283"/>
              <w:jc w:val="start"/>
              <w:rPr/>
            </w:pPr>
            <w:r>
              <w:rPr/>
              <w:t>Registros de actividad (pasos, HR, duración)</w:t>
            </w:r>
          </w:p>
        </w:tc>
        <w:tc>
          <w:tcPr>
            <w:tcW w:w="3419" w:type="dxa"/>
            <w:tcBorders/>
            <w:vAlign w:val="center"/>
          </w:tcPr>
          <w:p>
            <w:pPr>
              <w:pStyle w:val="TableContents"/>
              <w:bidi w:val="0"/>
              <w:spacing w:before="0" w:after="283"/>
              <w:jc w:val="start"/>
              <w:rPr/>
            </w:pPr>
            <w:r>
              <w:rPr/>
              <w:t>Ninguna</w:t>
            </w:r>
          </w:p>
        </w:tc>
      </w:tr>
      <w:tr>
        <w:trPr/>
        <w:tc>
          <w:tcPr>
            <w:tcW w:w="1772" w:type="dxa"/>
            <w:tcBorders/>
            <w:vAlign w:val="center"/>
          </w:tcPr>
          <w:p>
            <w:pPr>
              <w:pStyle w:val="TableContents"/>
              <w:bidi w:val="0"/>
              <w:spacing w:before="0" w:after="283"/>
              <w:jc w:val="start"/>
              <w:rPr/>
            </w:pPr>
            <w:r>
              <w:rPr/>
              <w:t>Proyecto principal</w:t>
            </w:r>
          </w:p>
        </w:tc>
        <w:tc>
          <w:tcPr>
            <w:tcW w:w="4829" w:type="dxa"/>
            <w:tcBorders/>
            <w:vAlign w:val="center"/>
          </w:tcPr>
          <w:p>
            <w:pPr>
              <w:pStyle w:val="TableContents"/>
              <w:bidi w:val="0"/>
              <w:spacing w:before="0" w:after="283"/>
              <w:jc w:val="start"/>
              <w:rPr/>
            </w:pPr>
            <w:r>
              <w:rPr/>
              <w:t>Noticias, usuarios, JWT, secretos TOTP</w:t>
            </w:r>
          </w:p>
        </w:tc>
        <w:tc>
          <w:tcPr>
            <w:tcW w:w="3419" w:type="dxa"/>
            <w:tcBorders/>
            <w:vAlign w:val="center"/>
          </w:tcPr>
          <w:p>
            <w:pPr>
              <w:pStyle w:val="TableContents"/>
              <w:bidi w:val="0"/>
              <w:spacing w:before="0" w:after="283"/>
              <w:jc w:val="start"/>
              <w:rPr/>
            </w:pPr>
            <w:r>
              <w:rPr/>
              <w:t>—</w:t>
            </w:r>
          </w:p>
        </w:tc>
      </w:tr>
    </w:tbl>
    <w:p>
      <w:pPr>
        <w:pStyle w:val="BodyText"/>
        <w:bidi w:val="0"/>
        <w:spacing w:before="0" w:after="283"/>
        <w:rPr/>
      </w:pPr>
      <w:r>
        <w:rPr/>
        <w:t>No hay ningún endpoint, modelo de datos o flujo que conecte los comandos de entrenamiento o los registros de actividad con el dominio de noticias/autenticación. Serían apps paralelas sin acoplamiento.</w:t>
      </w:r>
    </w:p>
    <w:p>
      <w:pPr>
        <w:pStyle w:val="Heading3"/>
        <w:numPr>
          <w:ilvl w:val="0"/>
          <w:numId w:val="0"/>
        </w:numPr>
        <w:bidi w:val="0"/>
        <w:spacing w:before="210" w:after="120"/>
        <w:rPr/>
      </w:pPr>
      <w:r>
        <w:rPr/>
        <w:t>3.4. Naturaleza de entregable autónomo</w:t>
      </w:r>
    </w:p>
    <w:p>
      <w:pPr>
        <w:pStyle w:val="BodyText"/>
        <w:bidi w:val="0"/>
        <w:spacing w:before="0" w:after="283"/>
        <w:rPr/>
      </w:pPr>
      <w:r>
        <w:rPr/>
        <w:t>Cada práctica fue diseñada como proyecto independiente: propio Gradle wrapper, namespaces distintos (</w:t>
      </w:r>
      <w:r>
        <w:rPr>
          <w:rStyle w:val="SourceText"/>
        </w:rPr>
        <w:t>mx.labandera.watchcontrol</w:t>
      </w:r>
      <w:r>
        <w:rPr/>
        <w:t xml:space="preserve">, </w:t>
      </w:r>
      <w:r>
        <w:rPr>
          <w:rStyle w:val="SourceText"/>
        </w:rPr>
        <w:t>mx.labandera.fitsync</w:t>
      </w:r>
      <w:r>
        <w:rPr/>
        <w:t>) y APKs propios. No fueron concebidas para acoplarse a otro sistema.</w:t>
      </w:r>
    </w:p>
    <w:p>
      <w:pPr>
        <w:pStyle w:val="Heading2"/>
        <w:numPr>
          <w:ilvl w:val="0"/>
          <w:numId w:val="0"/>
        </w:numPr>
        <w:pBdr>
          <w:bottom w:val="single" w:sz="12" w:space="3" w:color="4FC3F7"/>
        </w:pBdr>
        <w:bidi w:val="0"/>
        <w:spacing w:before="300" w:after="120"/>
        <w:rPr/>
      </w:pPr>
      <w:r>
        <w:rPr/>
        <w:t>4. Impacto en la autenticación (2FA/TOTP)</w:t>
      </w:r>
    </w:p>
    <w:p>
      <w:pPr>
        <w:pStyle w:val="Heading3"/>
        <w:numPr>
          <w:ilvl w:val="0"/>
          <w:numId w:val="0"/>
        </w:numPr>
        <w:bidi w:val="0"/>
        <w:spacing w:before="210" w:after="120"/>
        <w:rPr/>
      </w:pPr>
      <w:r>
        <w:rPr/>
        <w:t>4.1. Flujo de autenticación actual</w:t>
      </w:r>
    </w:p>
    <w:p>
      <w:pPr>
        <w:pStyle w:val="PreformattedText"/>
        <w:pBdr/>
        <w:bidi w:val="0"/>
        <w:spacing w:before="0" w:after="0"/>
        <w:rPr/>
      </w:pPr>
      <w:r>
        <w:rPr/>
        <w:t>Web /security  ──►  POST /api/auth/totp/setup  ──►  QR otpauth://</w:t>
      </w:r>
    </w:p>
    <w:p>
      <w:pPr>
        <w:pStyle w:val="PreformattedText"/>
        <w:pBdr/>
        <w:bidi w:val="0"/>
        <w:spacing w:before="0" w:after="0"/>
        <w:rPr/>
      </w:pPr>
      <w:r>
        <w:rPr/>
        <w:t xml:space="preserve">      └──────────────────────────────────────────────►  </w:t>
      </w:r>
      <w:r>
        <w:rPr/>
        <w:t>wear-app (reloj) escanea QR</w:t>
      </w:r>
    </w:p>
    <w:p>
      <w:pPr>
        <w:pStyle w:val="PreformattedText"/>
        <w:pBdr/>
        <w:bidi w:val="0"/>
        <w:spacing w:before="0" w:after="0"/>
        <w:rPr/>
      </w:pPr>
      <w:r>
        <w:rPr/>
        <w:t xml:space="preserve">                                                        </w:t>
      </w:r>
      <w:r>
        <w:rPr/>
        <w:t>guarda secreto (SharedPreferences)</w:t>
      </w:r>
    </w:p>
    <w:p>
      <w:pPr>
        <w:pStyle w:val="PreformattedText"/>
        <w:pBdr/>
        <w:bidi w:val="0"/>
        <w:spacing w:before="0" w:after="0"/>
        <w:rPr/>
      </w:pPr>
      <w:r>
        <w:rPr/>
        <w:t xml:space="preserve">                                                        </w:t>
      </w:r>
      <w:r>
        <w:rPr/>
        <w:t>genera código 6 dígitos / 30 s (RFC 6238)</w:t>
      </w:r>
    </w:p>
    <w:p>
      <w:pPr>
        <w:pStyle w:val="PreformattedText"/>
        <w:bidi w:val="0"/>
        <w:spacing w:before="0" w:after="283"/>
        <w:rPr/>
      </w:pPr>
      <w:r>
        <w:rPr/>
        <w:t>Usuario teclea código en login web  ──►  backend valida (@otplib)  ──►  sesión JWT</w:t>
      </w:r>
    </w:p>
    <w:p>
      <w:pPr>
        <w:pStyle w:val="BodyText"/>
        <w:bidi w:val="0"/>
        <w:spacing w:before="0" w:after="283"/>
        <w:rPr/>
      </w:pPr>
      <w:r>
        <w:rPr>
          <w:b/>
        </w:rPr>
        <w:t>El teléfono no participa en ningún paso.</w:t>
      </w:r>
      <w:r>
        <w:rPr/>
        <w:t xml:space="preserve"> El código se genera en el reloj y la validación la hace el backend. Las prácticas 5 y 6 no generan ni validan TOTP, no tocan JWT, sesiones ni endpoints de auth.</w:t>
      </w:r>
    </w:p>
    <w:p>
      <w:pPr>
        <w:pStyle w:val="BodyText"/>
        <w:bidi w:val="0"/>
        <w:spacing w:before="180" w:after="180"/>
        <w:ind w:hanging="0" w:start="180" w:end="180"/>
        <w:rPr>
          <w:bdr w:val="single" w:sz="2" w:space="8" w:color="99CC99"/>
          <w:shd w:fill="F0FFF0" w:val="clear"/>
        </w:rPr>
      </w:pPr>
      <w:r>
        <w:rPr>
          <w:b/>
          <w:bdr w:val="single" w:sz="2" w:space="8" w:color="99CC99"/>
          <w:shd w:fill="F0FFF0" w:val="clear"/>
        </w:rPr>
        <w:t>Conclusión parcial:</w:t>
      </w:r>
      <w:r>
        <w:rPr>
          <w:bdr w:val="single" w:sz="2" w:space="8" w:color="99CC99"/>
          <w:shd w:fill="F0FFF0" w:val="clear"/>
        </w:rPr>
        <w:t xml:space="preserve"> las funciones de las prácticas </w:t>
      </w:r>
      <w:r>
        <w:rPr>
          <w:b/>
          <w:bdr w:val="single" w:sz="2" w:space="8" w:color="99CC99"/>
          <w:shd w:fill="F0FFF0" w:val="clear"/>
        </w:rPr>
        <w:t>no ayudan</w:t>
      </w:r>
      <w:r>
        <w:rPr>
          <w:bdr w:val="single" w:sz="2" w:space="8" w:color="99CC99"/>
          <w:shd w:fill="F0FFF0" w:val="clear"/>
        </w:rPr>
        <w:t xml:space="preserve"> al mecanismo de autenticación, porque el flujo de 2FA no requiere un nodo de teléfono y las prácticas no intervienen en la generación ni validación del código. </w:t>
      </w:r>
    </w:p>
    <w:p>
      <w:pPr>
        <w:pStyle w:val="Heading3"/>
        <w:numPr>
          <w:ilvl w:val="0"/>
          <w:numId w:val="0"/>
        </w:numPr>
        <w:bidi w:val="0"/>
        <w:spacing w:before="210" w:after="120"/>
        <w:rPr/>
      </w:pPr>
      <w:r>
        <w:rPr/>
        <w:t>4.2. ¿Entorpecería el proceso?</w:t>
      </w:r>
    </w:p>
    <w:p>
      <w:pPr>
        <w:pStyle w:val="BodyText"/>
        <w:bidi w:val="0"/>
        <w:spacing w:before="0" w:after="283"/>
        <w:rPr/>
      </w:pPr>
      <w:r>
        <w:rPr>
          <w:b/>
        </w:rPr>
        <w:t>Si se mantienen como módulos aislados:</w:t>
      </w:r>
      <w:r>
        <w:rPr/>
        <w:t xml:space="preserve"> NO. No modifican </w:t>
      </w:r>
      <w:r>
        <w:rPr>
          <w:rStyle w:val="SourceText"/>
        </w:rPr>
        <w:t>backend/</w:t>
      </w:r>
      <w:r>
        <w:rPr/>
        <w:t xml:space="preserve"> ni </w:t>
      </w:r>
      <w:r>
        <w:rPr>
          <w:rStyle w:val="SourceText"/>
        </w:rPr>
        <w:t>frontend/</w:t>
      </w:r>
      <w:r>
        <w:rPr/>
        <w:t>, usan packages distintos (</w:t>
      </w:r>
      <w:r>
        <w:rPr>
          <w:rStyle w:val="SourceText"/>
        </w:rPr>
        <w:t>mx.labandera.wear</w:t>
      </w:r>
      <w:r>
        <w:rPr/>
        <w:t xml:space="preserve"> vs </w:t>
      </w:r>
      <w:r>
        <w:rPr>
          <w:rStyle w:val="SourceText"/>
        </w:rPr>
        <w:t>mx.labandera.watchcontrol</w:t>
      </w:r>
      <w:r>
        <w:rPr/>
        <w:t>/</w:t>
      </w:r>
      <w:r>
        <w:rPr>
          <w:rStyle w:val="SourceText"/>
        </w:rPr>
        <w:t>mx.labandera.fitsync</w:t>
      </w:r>
      <w:r>
        <w:rPr/>
        <w:t>) y múltiples apps Wear OS conviven en el mismo emulador sin interferir. El único costo es mayor tiempo de build y más dependencias.</w:t>
      </w:r>
    </w:p>
    <w:p>
      <w:pPr>
        <w:pStyle w:val="BodyText"/>
        <w:bidi w:val="0"/>
        <w:spacing w:before="180" w:after="180"/>
        <w:ind w:hanging="0" w:start="180" w:end="180"/>
        <w:rPr/>
      </w:pPr>
      <w:r>
        <w:rPr>
          <w:b/>
          <w:shd w:fill="FFF3F3" w:val="clear"/>
        </w:rPr>
        <w:t xml:space="preserve">Si se forzaran dentro del camino de autenticación (p. ej., reenviar el código TOTP del reloj al teléfono por </w:t>
      </w:r>
      <w:r>
        <w:rPr>
          <w:rStyle w:val="SourceText"/>
          <w:b/>
          <w:shd w:fill="FFF3F3" w:val="clear"/>
        </w:rPr>
        <w:t>MessageClient</w:t>
      </w:r>
      <w:r>
        <w:rPr>
          <w:b/>
          <w:shd w:fill="FFF3F3" w:val="clear"/>
        </w:rPr>
        <w:t xml:space="preserve"> y desde ahí al login), SÍ entorpecería:</w:t>
      </w:r>
      <w:r>
        <w:rPr>
          <w:shd w:fill="FFF3F3" w:val="clear"/>
        </w:rPr>
        <w:t xml:space="preserve"> </w:t>
      </w:r>
    </w:p>
    <w:p>
      <w:pPr>
        <w:pStyle w:val="BodyText"/>
        <w:numPr>
          <w:ilvl w:val="0"/>
          <w:numId w:val="2"/>
        </w:numPr>
        <w:tabs>
          <w:tab w:val="clear" w:pos="1134"/>
          <w:tab w:val="left" w:pos="889" w:leader="none"/>
        </w:tabs>
        <w:bidi w:val="0"/>
        <w:spacing w:before="180" w:after="180"/>
        <w:ind w:hanging="283" w:start="889" w:end="180"/>
        <w:rPr>
          <w:bdr w:val="single" w:sz="2" w:space="8" w:color="DD9999"/>
          <w:shd w:fill="FFF3F3" w:val="clear"/>
        </w:rPr>
      </w:pPr>
      <w:r>
        <w:rPr>
          <w:b/>
          <w:bdr w:val="single" w:sz="2" w:space="8" w:color="DD9999"/>
          <w:shd w:fill="FFF3F3" w:val="clear"/>
        </w:rPr>
        <w:t>Salto extra por Bluetooth:</w:t>
      </w:r>
      <w:r>
        <w:rPr>
          <w:bdr w:val="single" w:sz="2" w:space="8" w:color="DD9999"/>
          <w:shd w:fill="FFF3F3" w:val="clear"/>
        </w:rPr>
        <w:t xml:space="preserve"> el Wearable Data Layer encola mensajes si el enlace se interrumpe y los entrega al reconectarse, agregando latencia e incertidumbre a un flujo hoy directo (reloj → teclado del usuario). </w:t>
      </w:r>
    </w:p>
    <w:p>
      <w:pPr>
        <w:pStyle w:val="BodyText"/>
        <w:numPr>
          <w:ilvl w:val="0"/>
          <w:numId w:val="2"/>
        </w:numPr>
        <w:tabs>
          <w:tab w:val="clear" w:pos="1134"/>
          <w:tab w:val="left" w:pos="889" w:leader="none"/>
        </w:tabs>
        <w:bidi w:val="0"/>
        <w:spacing w:before="180" w:after="180"/>
        <w:ind w:hanging="283" w:start="889" w:end="180"/>
        <w:rPr>
          <w:bdr w:val="single" w:sz="2" w:space="8" w:color="DD9999"/>
          <w:shd w:fill="FFF3F3" w:val="clear"/>
        </w:rPr>
      </w:pPr>
      <w:r>
        <w:rPr>
          <w:b/>
          <w:bdr w:val="single" w:sz="2" w:space="8" w:color="DD9999"/>
          <w:shd w:fill="FFF3F3" w:val="clear"/>
        </w:rPr>
        <w:t>Dependencia de conectividad:</w:t>
      </w:r>
      <w:r>
        <w:rPr>
          <w:bdr w:val="single" w:sz="2" w:space="8" w:color="DD9999"/>
          <w:shd w:fill="FFF3F3" w:val="clear"/>
        </w:rPr>
        <w:t xml:space="preserve"> la autenticación dejaría de funcionar si el teléfono no está vinculado/encendido, cuando hoy solo necesita el reloj. </w:t>
      </w:r>
    </w:p>
    <w:p>
      <w:pPr>
        <w:pStyle w:val="BodyText"/>
        <w:numPr>
          <w:ilvl w:val="0"/>
          <w:numId w:val="2"/>
        </w:numPr>
        <w:tabs>
          <w:tab w:val="clear" w:pos="1134"/>
          <w:tab w:val="left" w:pos="889" w:leader="none"/>
        </w:tabs>
        <w:bidi w:val="0"/>
        <w:spacing w:before="180" w:after="180"/>
        <w:ind w:hanging="283" w:start="889" w:end="180"/>
        <w:rPr>
          <w:bdr w:val="single" w:sz="2" w:space="8" w:color="DD9999"/>
          <w:shd w:fill="FFF3F3" w:val="clear"/>
        </w:rPr>
      </w:pPr>
      <w:r>
        <w:rPr>
          <w:b/>
          <w:bdr w:val="single" w:sz="2" w:space="8" w:color="DD9999"/>
          <w:shd w:fill="FFF3F3" w:val="clear"/>
        </w:rPr>
        <w:t>Sin ganancia de seguridad:</w:t>
      </w:r>
      <w:r>
        <w:rPr>
          <w:bdr w:val="single" w:sz="2" w:space="8" w:color="DD9999"/>
          <w:shd w:fill="FFF3F3" w:val="clear"/>
        </w:rPr>
        <w:t xml:space="preserve"> el código ya está en el reloj; copiarlo al teléfono no lo protege más, solo duplica una copia sensible. </w:t>
      </w:r>
    </w:p>
    <w:p>
      <w:pPr>
        <w:pStyle w:val="BodyText"/>
        <w:numPr>
          <w:ilvl w:val="0"/>
          <w:numId w:val="2"/>
        </w:numPr>
        <w:tabs>
          <w:tab w:val="clear" w:pos="1134"/>
          <w:tab w:val="left" w:pos="889" w:leader="none"/>
        </w:tabs>
        <w:bidi w:val="0"/>
        <w:spacing w:before="180" w:after="180"/>
        <w:ind w:hanging="283" w:start="889" w:end="180"/>
        <w:rPr>
          <w:bdr w:val="single" w:sz="2" w:space="8" w:color="DD9999"/>
          <w:shd w:fill="FFF3F3" w:val="clear"/>
        </w:rPr>
      </w:pPr>
      <w:r>
        <w:rPr>
          <w:b/>
          <w:bdr w:val="single" w:sz="2" w:space="8" w:color="DD9999"/>
          <w:shd w:fill="FFF3F3" w:val="clear"/>
        </w:rPr>
        <w:t>Confusión conceptual:</w:t>
      </w:r>
      <w:r>
        <w:rPr>
          <w:bdr w:val="single" w:sz="2" w:space="8" w:color="DD9999"/>
          <w:shd w:fill="FFF3F3" w:val="clear"/>
        </w:rPr>
        <w:t xml:space="preserve"> mezclar una demo educativa (entrenamiento/fitness) con el módulo de seguridad debilita la claridad del entregable. </w:t>
      </w:r>
    </w:p>
    <w:p>
      <w:pPr>
        <w:pStyle w:val="Heading2"/>
        <w:bidi w:val="0"/>
        <w:ind w:hanging="0"/>
        <w:rPr/>
      </w:pPr>
      <w:r>
        <w:rPr/>
        <w:t>5. Matriz de decisión</w:t>
      </w:r>
    </w:p>
    <w:tbl>
      <w:tblPr>
        <w:tblW w:w="10205" w:type="dxa"/>
        <w:jc w:val="start"/>
        <w:tblInd w:w="0" w:type="dxa"/>
        <w:tblLayout w:type="fixed"/>
        <w:tblCellMar>
          <w:top w:w="28" w:type="dxa"/>
          <w:start w:w="28" w:type="dxa"/>
          <w:bottom w:w="28" w:type="dxa"/>
          <w:end w:w="28" w:type="dxa"/>
        </w:tblCellMar>
      </w:tblPr>
      <w:tblGrid>
        <w:gridCol w:w="3945"/>
        <w:gridCol w:w="3760"/>
        <w:gridCol w:w="2500"/>
      </w:tblGrid>
      <w:tr>
        <w:trPr/>
        <w:tc>
          <w:tcPr>
            <w:tcW w:w="3945" w:type="dxa"/>
            <w:tcBorders/>
            <w:vAlign w:val="center"/>
          </w:tcPr>
          <w:p>
            <w:pPr>
              <w:pStyle w:val="TableHeading"/>
              <w:suppressLineNumbers/>
              <w:bidi w:val="0"/>
              <w:spacing w:before="0" w:after="283"/>
              <w:jc w:val="start"/>
              <w:rPr/>
            </w:pPr>
            <w:r>
              <w:rPr/>
              <w:t>Escenario</w:t>
            </w:r>
          </w:p>
        </w:tc>
        <w:tc>
          <w:tcPr>
            <w:tcW w:w="3760" w:type="dxa"/>
            <w:tcBorders/>
            <w:vAlign w:val="center"/>
          </w:tcPr>
          <w:p>
            <w:pPr>
              <w:pStyle w:val="TableHeading"/>
              <w:suppressLineNumbers/>
              <w:bidi w:val="0"/>
              <w:spacing w:before="0" w:after="283"/>
              <w:jc w:val="start"/>
              <w:rPr/>
            </w:pPr>
            <w:r>
              <w:rPr/>
              <w:t>Impacto en autenticación</w:t>
            </w:r>
          </w:p>
        </w:tc>
        <w:tc>
          <w:tcPr>
            <w:tcW w:w="2500" w:type="dxa"/>
            <w:tcBorders/>
            <w:vAlign w:val="center"/>
          </w:tcPr>
          <w:p>
            <w:pPr>
              <w:pStyle w:val="TableHeading"/>
              <w:suppressLineNumbers/>
              <w:bidi w:val="0"/>
              <w:spacing w:before="0" w:after="283"/>
              <w:jc w:val="start"/>
              <w:rPr/>
            </w:pPr>
            <w:r>
              <w:rPr/>
              <w:t>Viabilidad</w:t>
            </w:r>
          </w:p>
        </w:tc>
      </w:tr>
      <w:tr>
        <w:trPr/>
        <w:tc>
          <w:tcPr>
            <w:tcW w:w="3945" w:type="dxa"/>
            <w:tcBorders/>
            <w:vAlign w:val="center"/>
          </w:tcPr>
          <w:p>
            <w:pPr>
              <w:pStyle w:val="TableContents"/>
              <w:bidi w:val="0"/>
              <w:spacing w:before="0" w:after="283"/>
              <w:jc w:val="start"/>
              <w:rPr/>
            </w:pPr>
            <w:r>
              <w:rPr/>
              <w:t>Mantener prácticas aisladas (carpetas independientes)</w:t>
            </w:r>
          </w:p>
        </w:tc>
        <w:tc>
          <w:tcPr>
            <w:tcW w:w="3760" w:type="dxa"/>
            <w:tcBorders/>
            <w:vAlign w:val="center"/>
          </w:tcPr>
          <w:p>
            <w:pPr>
              <w:pStyle w:val="TableContents"/>
              <w:bidi w:val="0"/>
              <w:spacing w:before="0" w:after="283"/>
              <w:jc w:val="start"/>
              <w:rPr/>
            </w:pPr>
            <w:r>
              <w:rPr/>
              <w:t>Ninguno (ni mejora ni entorpece)</w:t>
            </w:r>
          </w:p>
        </w:tc>
        <w:tc>
          <w:tcPr>
            <w:tcW w:w="2500" w:type="dxa"/>
            <w:tcBorders/>
            <w:vAlign w:val="center"/>
          </w:tcPr>
          <w:p>
            <w:pPr>
              <w:pStyle w:val="TableContents"/>
              <w:bidi w:val="0"/>
              <w:spacing w:before="0" w:after="283"/>
              <w:jc w:val="start"/>
              <w:rPr/>
            </w:pPr>
            <w:r>
              <w:rPr/>
              <w:t>Viable, pero sin beneficio</w:t>
            </w:r>
          </w:p>
        </w:tc>
      </w:tr>
      <w:tr>
        <w:trPr/>
        <w:tc>
          <w:tcPr>
            <w:tcW w:w="3945" w:type="dxa"/>
            <w:tcBorders/>
            <w:vAlign w:val="center"/>
          </w:tcPr>
          <w:p>
            <w:pPr>
              <w:pStyle w:val="TableContents"/>
              <w:bidi w:val="0"/>
              <w:spacing w:before="0" w:after="283"/>
              <w:jc w:val="start"/>
              <w:rPr/>
            </w:pPr>
            <w:r>
              <w:rPr/>
              <w:t>Agregar como módulos Gradle en el repo (sin acoplar)</w:t>
            </w:r>
          </w:p>
        </w:tc>
        <w:tc>
          <w:tcPr>
            <w:tcW w:w="3760" w:type="dxa"/>
            <w:tcBorders/>
            <w:vAlign w:val="center"/>
          </w:tcPr>
          <w:p>
            <w:pPr>
              <w:pStyle w:val="TableContents"/>
              <w:bidi w:val="0"/>
              <w:spacing w:before="0" w:after="283"/>
              <w:jc w:val="start"/>
              <w:rPr/>
            </w:pPr>
            <w:r>
              <w:rPr/>
              <w:t>Ninguno funcional; más build/deps</w:t>
            </w:r>
          </w:p>
        </w:tc>
        <w:tc>
          <w:tcPr>
            <w:tcW w:w="2500" w:type="dxa"/>
            <w:tcBorders/>
            <w:vAlign w:val="center"/>
          </w:tcPr>
          <w:p>
            <w:pPr>
              <w:pStyle w:val="TableContents"/>
              <w:bidi w:val="0"/>
              <w:spacing w:before="0" w:after="283"/>
              <w:jc w:val="start"/>
              <w:rPr/>
            </w:pPr>
            <w:r>
              <w:rPr/>
              <w:t>Técnicamente posible, sin valor</w:t>
            </w:r>
          </w:p>
        </w:tc>
      </w:tr>
      <w:tr>
        <w:trPr/>
        <w:tc>
          <w:tcPr>
            <w:tcW w:w="3945" w:type="dxa"/>
            <w:tcBorders/>
            <w:vAlign w:val="center"/>
          </w:tcPr>
          <w:p>
            <w:pPr>
              <w:pStyle w:val="TableContents"/>
              <w:bidi w:val="0"/>
              <w:spacing w:before="0" w:after="283"/>
              <w:jc w:val="start"/>
              <w:rPr/>
            </w:pPr>
            <w:r>
              <w:rPr/>
              <w:t>Forzar integración en el flujo de 2FA</w:t>
            </w:r>
          </w:p>
        </w:tc>
        <w:tc>
          <w:tcPr>
            <w:tcW w:w="3760" w:type="dxa"/>
            <w:tcBorders/>
            <w:vAlign w:val="center"/>
          </w:tcPr>
          <w:p>
            <w:pPr>
              <w:pStyle w:val="TableContents"/>
              <w:bidi w:val="0"/>
              <w:spacing w:before="0" w:after="283"/>
              <w:jc w:val="start"/>
              <w:rPr/>
            </w:pPr>
            <w:r>
              <w:rPr/>
              <w:t>Negativo (BLE, encolado, sin ganancia de seguridad)</w:t>
            </w:r>
          </w:p>
        </w:tc>
        <w:tc>
          <w:tcPr>
            <w:tcW w:w="2500" w:type="dxa"/>
            <w:tcBorders/>
            <w:vAlign w:val="center"/>
          </w:tcPr>
          <w:p>
            <w:pPr>
              <w:pStyle w:val="TableContents"/>
              <w:bidi w:val="0"/>
              <w:spacing w:before="0" w:after="283"/>
              <w:jc w:val="start"/>
              <w:rPr/>
            </w:pPr>
            <w:r>
              <w:rPr/>
              <w:t>NO viable</w:t>
            </w:r>
          </w:p>
        </w:tc>
      </w:tr>
    </w:tbl>
    <w:p>
      <w:pPr>
        <w:pStyle w:val="Heading2"/>
        <w:numPr>
          <w:ilvl w:val="0"/>
          <w:numId w:val="0"/>
        </w:numPr>
        <w:pBdr>
          <w:bottom w:val="single" w:sz="12" w:space="3" w:color="4FC3F7"/>
        </w:pBdr>
        <w:bidi w:val="0"/>
        <w:spacing w:before="300" w:after="120"/>
        <w:rPr/>
      </w:pPr>
      <w:r>
        <w:rPr/>
        <w:t>6. Recomendación</w:t>
      </w:r>
    </w:p>
    <w:p>
      <w:pPr>
        <w:pStyle w:val="BodyText"/>
        <w:bidi w:val="0"/>
        <w:spacing w:before="0" w:after="283"/>
        <w:rPr/>
      </w:pPr>
      <w:r>
        <w:rPr/>
        <w:t>Mantener las Prácticas 5 y 6 en sus carpetas independientes (</w:t>
      </w:r>
      <w:r>
        <w:rPr>
          <w:rStyle w:val="SourceText"/>
        </w:rPr>
        <w:t>practica5-watchcontrol/</w:t>
      </w:r>
      <w:r>
        <w:rPr/>
        <w:t xml:space="preserve">, </w:t>
      </w:r>
      <w:r>
        <w:rPr>
          <w:rStyle w:val="SourceText"/>
        </w:rPr>
        <w:t>practica6-fitsync/</w:t>
      </w:r>
      <w:r>
        <w:rPr/>
        <w:t>). No tocan la autenticación, por lo que ni la mejoran ni la estropean; integrarla al proyecto principal solo añadiría ruido arquitectónico y dependencias innecesarias, sin ningún beneficio funcional ni de seguridad. Si en el futuro se desea un "lado de teléfono" nativo, debe diseñarse como app propia con un objetivo claro, no como reutilización de estas prácticas.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ans-serif">
    <w:altName w:val="Arial"/>
    <w:charset w:val="01"/>
    <w:family w:val="auto"/>
    <w:pitch w:val="default"/>
  </w:font>
  <w:font w:name="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80"/>
  <w:defaultTabStop w:val="1134"/>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MX"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sans-serif" w:hAnsi="sans-serif" w:eastAsia="sans-serif" w:cs="sans-serif"/>
      <w:color w:val="auto"/>
      <w:sz w:val="22"/>
      <w:szCs w:val="22"/>
      <w:lang w:val="es-MX" w:eastAsia="zh-CN" w:bidi="hi-IN"/>
    </w:rPr>
  </w:style>
  <w:style w:type="paragraph" w:styleId="Heading1">
    <w:name w:val="heading 1"/>
    <w:basedOn w:val="Heading"/>
    <w:next w:val="BodyText"/>
    <w:qFormat/>
    <w:pPr/>
    <w:rPr>
      <w:b/>
      <w:bCs/>
      <w:sz w:val="32"/>
      <w:szCs w:val="32"/>
    </w:rPr>
  </w:style>
  <w:style w:type="paragraph" w:styleId="Heading2">
    <w:name w:val="heading 2"/>
    <w:basedOn w:val="Heading"/>
    <w:next w:val="BodyText"/>
    <w:qFormat/>
    <w:pPr>
      <w:numPr>
        <w:ilvl w:val="0"/>
        <w:numId w:val="0"/>
      </w:numPr>
      <w:pBdr>
        <w:bottom w:val="single" w:sz="12" w:space="3" w:color="4FC3F7"/>
      </w:pBdr>
      <w:spacing w:before="300" w:after="120"/>
      <w:outlineLvl w:val="1"/>
    </w:pPr>
    <w:rPr>
      <w:rFonts w:ascii="Liberation Serif" w:hAnsi="Liberation Serif" w:eastAsia="Noto Serif CJK SC" w:cs="Noto Sans Devanagari"/>
      <w:b/>
      <w:bCs/>
      <w:sz w:val="26"/>
      <w:szCs w:val="26"/>
    </w:rPr>
  </w:style>
  <w:style w:type="paragraph" w:styleId="Heading3">
    <w:name w:val="heading 3"/>
    <w:basedOn w:val="Heading"/>
    <w:next w:val="BodyText"/>
    <w:qFormat/>
    <w:pPr>
      <w:numPr>
        <w:ilvl w:val="0"/>
        <w:numId w:val="0"/>
      </w:numPr>
      <w:spacing w:before="210" w:after="120"/>
      <w:outlineLvl w:val="2"/>
    </w:pPr>
    <w:rPr>
      <w:rFonts w:ascii="Liberation Serif" w:hAnsi="Liberation Serif" w:eastAsia="Noto Serif CJK SC" w:cs="Noto Sans Devanagari"/>
      <w:b/>
      <w:bCs/>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monospace" w:hAnsi="monospace" w:eastAsia="monospace" w:cs="monospace"/>
      <w:sz w:val="19"/>
      <w:szCs w:val="19"/>
      <w:shd w:fill="F0F0F0"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jc w:val="start"/>
    </w:pPr>
    <w:rPr>
      <w:sz w:val="20"/>
      <w:szCs w:val="20"/>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pBdr>
        <w:top w:val="single" w:sz="2" w:space="6" w:color="CCCCCC"/>
        <w:left w:val="single" w:sz="2" w:space="6" w:color="CCCCCC"/>
        <w:bottom w:val="single" w:sz="2" w:space="6" w:color="CCCCCC"/>
        <w:right w:val="single" w:sz="2" w:space="6" w:color="CCCCCC"/>
      </w:pBdr>
      <w:spacing w:before="0" w:after="0"/>
    </w:pPr>
    <w:rPr>
      <w:rFonts w:ascii="monospace" w:hAnsi="monospace" w:eastAsia="monospace" w:cs="monospace"/>
      <w:sz w:val="18"/>
      <w:szCs w:val="18"/>
    </w:rPr>
  </w:style>
  <w:style w:type="paragraph" w:styleId="TableHeading">
    <w:name w:val="Table Heading"/>
    <w:basedOn w:val="TableContents"/>
    <w:qFormat/>
    <w:pPr>
      <w:suppressLineNumbers/>
      <w:jc w:val="start"/>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LibreOffice_project/0fee9b7af4ed8823fb6ed0b53e2a3e73b2087f4b</Application>
  <AppVersion>15.0000</AppVersion>
  <Pages>1</Pages>
  <Words>950</Words>
  <Characters>5445</Characters>
  <CharactersWithSpaces>6452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es-MX</dc:language>
  <cp:lastModifiedBy/>
  <cp:revision>0</cp:revision>
  <dc:subject/>
  <dc:title>Reporte — Viabilidad de integración de Práctica 5 y 6 en Labandera</dc:title>
</cp:coreProperties>
</file>

<file path=docProps/custom.xml><?xml version="1.0" encoding="utf-8"?>
<Properties xmlns="http://schemas.openxmlformats.org/officeDocument/2006/custom-properties" xmlns:vt="http://schemas.openxmlformats.org/officeDocument/2006/docPropsVTypes"/>
</file>