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{{申请号}}</w:t>
      </w: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905"/>
        <w:gridCol w:w="327"/>
        <w:gridCol w:w="732"/>
        <w:gridCol w:w="1184"/>
        <w:gridCol w:w="1398"/>
        <w:gridCol w:w="969"/>
        <w:gridCol w:w="15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522" w:type="dxa"/>
            <w:gridSpan w:val="8"/>
            <w:noWrap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专利价值评分表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6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专利价值等级</w:t>
            </w:r>
          </w:p>
        </w:tc>
        <w:tc>
          <w:tcPr>
            <w:tcW w:w="1964" w:type="dxa"/>
            <w:gridSpan w:val="3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{{等级}}</w:t>
            </w:r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申请号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{{申请号}}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专利名称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{{案件名称}}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专利价值分数(</w:t>
            </w:r>
            <w:r>
              <w:rPr>
                <w:sz w:val="15"/>
                <w:szCs w:val="15"/>
              </w:rPr>
              <w:t>V</w:t>
            </w:r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05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{{总分值}}</w:t>
            </w:r>
          </w:p>
        </w:tc>
        <w:tc>
          <w:tcPr>
            <w:tcW w:w="1059" w:type="dxa"/>
            <w:gridSpan w:val="2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权重因子(</w:t>
            </w:r>
            <w:r>
              <w:rPr>
                <w:sz w:val="15"/>
                <w:szCs w:val="15"/>
              </w:rPr>
              <w:t>%)</w:t>
            </w:r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法律状态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实质审查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专利类型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发明专利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法律价值分数(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ub>
              </m:sSub>
            </m:oMath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05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{{法律价值分值}}</w:t>
            </w:r>
          </w:p>
        </w:tc>
        <w:tc>
          <w:tcPr>
            <w:tcW w:w="327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α</w:t>
            </w:r>
          </w:p>
        </w:tc>
        <w:tc>
          <w:tcPr>
            <w:tcW w:w="732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52.78 %</w:t>
            </w:r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权利剩余年限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——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权利国别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{{国别}}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技术价值分数(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T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ub>
              </m:sSub>
            </m:oMath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05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{{技术价值分值}}</w:t>
            </w:r>
          </w:p>
        </w:tc>
        <w:tc>
          <w:tcPr>
            <w:tcW w:w="327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β</w:t>
            </w:r>
          </w:p>
        </w:tc>
        <w:tc>
          <w:tcPr>
            <w:tcW w:w="732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33.25 %</w:t>
            </w:r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优先权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5"/>
                <w:szCs w:val="15"/>
                <w:lang w:eastAsia="zh-CN"/>
              </w:rPr>
            </w:pPr>
            <w:r>
              <w:rPr>
                <w:rFonts w:hint="eastAsia"/>
                <w:sz w:val="15"/>
                <w:szCs w:val="15"/>
                <w:lang w:eastAsia="zh-CN"/>
              </w:rPr>
              <w:t>——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同族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rFonts w:hint="eastAsia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——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43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经济价值分数(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 w:val="15"/>
                      <w:szCs w:val="15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ub>
              </m:sSub>
            </m:oMath>
            <w:r>
              <w:rPr>
                <w:rFonts w:hint="eastAsia"/>
                <w:sz w:val="15"/>
                <w:szCs w:val="15"/>
              </w:rPr>
              <w:t>)</w:t>
            </w:r>
          </w:p>
        </w:tc>
        <w:tc>
          <w:tcPr>
            <w:tcW w:w="905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{{经济价值分值}}</w:t>
            </w:r>
          </w:p>
        </w:tc>
        <w:tc>
          <w:tcPr>
            <w:tcW w:w="327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γ</w:t>
            </w:r>
          </w:p>
        </w:tc>
        <w:tc>
          <w:tcPr>
            <w:tcW w:w="732" w:type="dxa"/>
            <w:noWrap/>
            <w:vAlign w:val="center"/>
          </w:tcPr>
          <w:p>
            <w:pPr>
              <w:jc w:val="center"/>
              <w:rPr>
                <w:rFonts w:hint="default" w:eastAsiaTheme="minor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13.96 %</w:t>
            </w:r>
          </w:p>
        </w:tc>
        <w:tc>
          <w:tcPr>
            <w:tcW w:w="1184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技术类别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(一级)</w:t>
            </w:r>
          </w:p>
        </w:tc>
        <w:tc>
          <w:tcPr>
            <w:tcW w:w="1398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{{产品}}</w:t>
            </w:r>
          </w:p>
        </w:tc>
        <w:tc>
          <w:tcPr>
            <w:tcW w:w="969" w:type="dxa"/>
            <w:noWrap/>
            <w:vAlign w:val="center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技术类别</w:t>
            </w:r>
          </w:p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(二级)</w:t>
            </w:r>
          </w:p>
        </w:tc>
        <w:tc>
          <w:tcPr>
            <w:tcW w:w="1573" w:type="dxa"/>
            <w:noWrap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{{技术主题二级}}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7" w:hRule="atLeast"/>
        </w:trPr>
        <w:tc>
          <w:tcPr>
            <w:tcW w:w="8522" w:type="dxa"/>
            <w:gridSpan w:val="8"/>
            <w:noWrap/>
            <w:vAlign w:val="center"/>
          </w:tcPr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专利价值等级：</w:t>
            </w:r>
          </w:p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A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：9</w:t>
            </w:r>
            <w:r>
              <w:rPr>
                <w:rFonts w:ascii="楷体" w:hAnsi="楷体" w:eastAsia="楷体"/>
                <w:sz w:val="18"/>
                <w:szCs w:val="18"/>
              </w:rPr>
              <w:t>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  <w:r>
              <w:rPr>
                <w:rFonts w:ascii="楷体" w:hAnsi="楷体" w:eastAsia="楷体" w:cs="Times New Roman"/>
                <w:sz w:val="18"/>
                <w:szCs w:val="18"/>
              </w:rPr>
              <w:t>≤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专利价值分数</w:t>
            </w:r>
          </w:p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B：8</w:t>
            </w:r>
            <w:r>
              <w:rPr>
                <w:rFonts w:ascii="楷体" w:hAnsi="楷体" w:eastAsia="楷体"/>
                <w:sz w:val="18"/>
                <w:szCs w:val="18"/>
              </w:rPr>
              <w:t>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  <w:r>
              <w:rPr>
                <w:rFonts w:ascii="楷体" w:hAnsi="楷体" w:eastAsia="楷体" w:cs="Times New Roman"/>
                <w:sz w:val="18"/>
                <w:szCs w:val="18"/>
              </w:rPr>
              <w:t>≤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专利价值分数&lt;</w:t>
            </w:r>
            <w:r>
              <w:rPr>
                <w:rFonts w:ascii="楷体" w:hAnsi="楷体" w:eastAsia="楷体"/>
                <w:sz w:val="18"/>
                <w:szCs w:val="18"/>
              </w:rPr>
              <w:t>90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</w:p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C：</w:t>
            </w:r>
            <w:r>
              <w:rPr>
                <w:rFonts w:ascii="楷体" w:hAnsi="楷体" w:eastAsia="楷体"/>
                <w:sz w:val="18"/>
                <w:szCs w:val="18"/>
              </w:rPr>
              <w:t>70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  <w:r>
              <w:rPr>
                <w:rFonts w:ascii="楷体" w:hAnsi="楷体" w:eastAsia="楷体" w:cs="Times New Roman"/>
                <w:sz w:val="18"/>
                <w:szCs w:val="18"/>
              </w:rPr>
              <w:t>≤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专利价值分数&lt;</w:t>
            </w:r>
            <w:r>
              <w:rPr>
                <w:rFonts w:ascii="楷体" w:hAnsi="楷体" w:eastAsia="楷体"/>
                <w:sz w:val="18"/>
                <w:szCs w:val="18"/>
              </w:rPr>
              <w:t>80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</w:p>
          <w:p>
            <w:pPr>
              <w:spacing w:line="240" w:lineRule="auto"/>
              <w:jc w:val="left"/>
              <w:rPr>
                <w:rFonts w:ascii="楷体" w:hAnsi="楷体" w:eastAsia="楷体"/>
                <w:sz w:val="18"/>
                <w:szCs w:val="18"/>
              </w:rPr>
            </w:pPr>
            <w:r>
              <w:rPr>
                <w:rFonts w:hint="eastAsia" w:ascii="楷体" w:hAnsi="楷体" w:eastAsia="楷体"/>
                <w:sz w:val="18"/>
                <w:szCs w:val="18"/>
              </w:rPr>
              <w:t>D：</w:t>
            </w:r>
            <w:r>
              <w:rPr>
                <w:rFonts w:ascii="楷体" w:hAnsi="楷体" w:eastAsia="楷体"/>
                <w:sz w:val="18"/>
                <w:szCs w:val="18"/>
              </w:rPr>
              <w:t>60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  <w:r>
              <w:rPr>
                <w:rFonts w:ascii="楷体" w:hAnsi="楷体" w:eastAsia="楷体" w:cs="Times New Roman"/>
                <w:sz w:val="18"/>
                <w:szCs w:val="18"/>
              </w:rPr>
              <w:t>≤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专利价值分数&lt;</w:t>
            </w:r>
            <w:r>
              <w:rPr>
                <w:rFonts w:ascii="楷体" w:hAnsi="楷体" w:eastAsia="楷体"/>
                <w:sz w:val="18"/>
                <w:szCs w:val="18"/>
              </w:rPr>
              <w:t>70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</w:p>
          <w:p>
            <w:pPr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rFonts w:ascii="楷体" w:hAnsi="楷体" w:eastAsia="楷体"/>
                <w:sz w:val="18"/>
                <w:szCs w:val="18"/>
              </w:rPr>
              <w:t>E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：专利价值分数&lt;</w:t>
            </w:r>
            <w:r>
              <w:rPr>
                <w:rFonts w:ascii="楷体" w:hAnsi="楷体" w:eastAsia="楷体"/>
                <w:sz w:val="18"/>
                <w:szCs w:val="18"/>
              </w:rPr>
              <w:t>60</w:t>
            </w:r>
            <w:r>
              <w:rPr>
                <w:rFonts w:hint="eastAsia" w:ascii="楷体" w:hAnsi="楷体" w:eastAsia="楷体"/>
                <w:sz w:val="18"/>
                <w:szCs w:val="18"/>
              </w:rPr>
              <w:t>分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cwMjE0YjY1ZWNmMjNjOWRhMzcyMThkYjIwNTY5MGQifQ=="/>
  </w:docVars>
  <w:rsids>
    <w:rsidRoot w:val="00000000"/>
    <w:rsid w:val="160B39B9"/>
    <w:rsid w:val="44EB3B19"/>
    <w:rsid w:val="78EF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260</Words>
  <Characters>310</Characters>
  <Lines>0</Lines>
  <Paragraphs>0</Paragraphs>
  <TotalTime>3</TotalTime>
  <ScaleCrop>false</ScaleCrop>
  <LinksUpToDate>false</LinksUpToDate>
  <CharactersWithSpaces>313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2023-05-19T07:31:00Z</dcterms:created>
  <dc:creator>1</dc:creator>
  <cp:lastModifiedBy>大可</cp:lastModifiedBy>
  <dcterms:modified xsi:type="dcterms:W3CDTF">2023-09-08T02:55:25Z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54497FA88A624D9F8E7E733AC944977C_12</vt:lpwstr>
  </property>
</Properties>
</file>