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1FBBCD">
      <w:pPr>
        <w:pStyle w:val="31"/>
        <w:keepNext w:val="0"/>
        <w:widowControl/>
        <w:spacing w:before="0" w:after="280"/>
        <w:ind w:firstLine="0"/>
        <w:jc w:val="center"/>
        <w:rPr>
          <w:rFonts w:ascii="微软雅黑" w:hAnsi="微软雅黑" w:eastAsia="微软雅黑"/>
          <w:b/>
          <w:sz w:val="40"/>
        </w:rPr>
      </w:pPr>
      <w:r>
        <w:t>AML Agent Memory 参赛适配方案 历史对话记忆与时序证据链检索方法</w:t>
      </w:r>
    </w:p>
    <w:p w14:paraId="2F59EE60">
      <w:pPr>
        <w:pStyle w:val="3"/>
        <w:widowControl/>
        <w:spacing w:before="200" w:after="100" w:line="276" w:lineRule="auto"/>
        <w:ind w:firstLine="0"/>
        <w:rPr>
          <w:rFonts w:hint="eastAsia" w:ascii="微软雅黑" w:hAnsi="微软雅黑" w:eastAsia="微软雅黑"/>
          <w:b/>
          <w:color w:val="000000"/>
          <w:sz w:val="30"/>
          <w:lang w:val="en-US" w:eastAsia="zh-CN"/>
        </w:rPr>
      </w:pPr>
      <w:r>
        <w:t>一 研究目标与 AML 参赛定位</w:t>
      </w:r>
    </w:p>
    <w:p w14:paraId="1B78A246">
      <w:pPr>
        <w:spacing w:after="100"/>
      </w:pPr>
      <w:r>
        <w:t>本研究拟将现有的“问题覆盖驱动的时序证据链检索方法”适配为 AML Agent Memory 的 Textual Memory 参赛系统。系统完整保存历史对话，在收到新问题后，检索能够支持回答的原始记录，补齐必要上下文并组织时间关系，形成可追溯的证据包，供 AML 统一的下游回答与评测流程使用。本方案严格区分记忆系统职责与平台职责：参赛系统只负责 Add 写入和 Search 检索，不自行生成最终答案、不修改评测问题或评分流程。本阶段汇报方法设计、接口适配、评测映射与实验计划，尚未形成可报告的比赛成绩。</w:t>
      </w:r>
    </w:p>
    <w:p w14:paraId="6313E224">
      <w:pPr>
        <w:pStyle w:val="4"/>
        <w:spacing w:after="100"/>
      </w:pPr>
      <w:r>
        <w:t>1 比赛任务与待解决问题</w:t>
      </w:r>
    </w:p>
    <w:p w14:paraId="74A66752">
      <w:pPr>
        <w:spacing w:after="100"/>
      </w:pPr>
      <w:r>
        <w:t>AML 通过统一的 Add 与 Search 接口评估长期记忆系统，覆盖长对话、跨会话历史、个人偏好、规则、时间事件和长上下文等场景，并由平台固定答案生成、评测、聚合和运行编排。系统需要在受限证据预算下支持显式事实召回、关系与多跳推理、时序事件理解、记忆治理、个性化与规则执行，同时遵守证据边界、不确定性和隐私要求。历史对话中包含用户偏好、项目决策和后续修改等信息。随着会话数量增加，将全部历史直接放入模型上下文会带来长度和处理成本问题；仅返回若干条相似消息，又可能遗漏回答所需的其他要点。单条消息还可能包含指代、省略或过时状态，影响模型对历史事实的判断。</w:t>
      </w:r>
    </w:p>
    <w:p w14:paraId="68448C14">
      <w:pPr>
        <w:spacing w:after="100"/>
        <w:rPr>
          <w:b w:val="0"/>
        </w:rPr>
      </w:pPr>
      <w:r>
        <w:t>例如，“我最初选了什么数据库，后来为什么修改？”同时需要早期选择、后续调整及修改原因。检索结果即使与“数据库”高度相关，若只覆盖最初选择，仍不足以支持 AML 下游回答完成多要点、时序和关系判断。因此，本研究将检索单位从孤立消息扩展为围绕问题要点组织的原始证据集合，并以证据可追溯、角色可区分和冲突可见为适配目标。</w:t>
      </w:r>
    </w:p>
    <w:p w14:paraId="62638DD4">
      <w:pPr>
        <w:pStyle w:val="3"/>
        <w:widowControl/>
        <w:spacing w:before="200" w:after="100" w:line="276" w:lineRule="auto"/>
        <w:ind w:firstLine="0"/>
        <w:rPr>
          <w:rFonts w:hint="eastAsia" w:ascii="微软雅黑" w:hAnsi="微软雅黑" w:eastAsia="微软雅黑"/>
          <w:b/>
          <w:color w:val="000000"/>
          <w:sz w:val="30"/>
          <w:lang w:val="en-US" w:eastAsia="zh-CN"/>
        </w:rPr>
      </w:pPr>
      <w:r>
        <w:t>二 总体流程与 AML 接口设计</w:t>
      </w:r>
    </w:p>
    <w:p w14:paraId="3EDFAAB2">
      <w:pPr>
        <w:pStyle w:val="4"/>
        <w:spacing w:after="100"/>
      </w:pPr>
      <w:r>
        <w:t>1 Add/Search 系统工作流程</w:t>
      </w:r>
    </w:p>
    <w:p w14:paraId="2D22E7F4">
      <w:pPr>
        <w:spacing w:after="100"/>
      </w:pPr>
      <w:r>
        <w:t>写入流程为：接收消息 → 校验用户与会话 → 幂等检查 → 保存原文与元数据 → 更新检索索引。检索流程为：接收新问题 → 分解要点与时间条件 → 多路召回 → 融合排序 → 覆盖驱动选择 → 补全上下文 → 组织时序关系 → 按预算返回证据。</w:t>
      </w:r>
    </w:p>
    <w:p>
      <w:r>
        <w:rPr>
          <w:rFonts w:ascii="Microsoft YaHei" w:hAnsi="Microsoft YaHei" w:eastAsia="Microsoft YaHei"/>
          <w:sz w:val="21"/>
        </w:rPr>
        <w:t>在 AML 参赛接口中，上述写入流程由 Add 操作承载，上述检索流程由 Search 操作承载；系统只返回证据，不生成最终答案，AML 平台统一负责下游回答、评测、聚合和运行编排。Search 响应补充稳定记录标识、原文片段、时间、会话和角色元数据，支持证据回查与结果复现。</w:t>
      </w:r>
    </w:p>
    <w:p w14:paraId="1556C6DD">
      <w:pPr>
        <w:spacing w:after="100"/>
      </w:pPr>
      <w:r>
        <w:t>原文库是事实回查的依据，索引只用于定位记录。消息与索引原则上在同一事务中更新，避免出现已保存但无法检索的记录。用户更正信息时追加新的消息，并保留前后关联；数据删除则同步清理索引，防止返回失效来源。</w:t>
      </w:r>
    </w:p>
    <w:p w14:paraId="79950C30">
      <w:pPr>
        <w:pStyle w:val="4"/>
        <w:spacing w:after="100"/>
      </w:pPr>
      <w:r>
        <w:t>2 存储与隔离原则</w:t>
      </w:r>
    </w:p>
    <w:p w14:paraId="69CD1469">
      <w:pPr>
        <w:spacing w:after="100"/>
      </w:pPr>
      <w:r>
        <w:rPr>
          <w:b w:val="0"/>
        </w:rPr>
        <w:t>保存时保留消息原文，不通过摘要替代原始记录。相同文本在不同时间重复出现，可能表达再次确认或状态变化，应作为不同事件保留；仅网络重试使用同一幂等键去重。检索输出阶段再合并同一消息的重复命中。</w:t>
      </w:r>
    </w:p>
    <w:p w14:paraId="5C23DE28">
      <w:pPr>
        <w:spacing w:after="100"/>
      </w:pPr>
      <w:r>
        <w:rPr>
          <w:b w:val="0"/>
        </w:rPr>
        <w:t>上层服务从登录状态获取可信用户标识，不能将客户端随意传入的标识视为身份认证。用户过滤必须应用于候选召回、上下文补全及引用回查的每个步骤。会话内顺序用于邻域补全，时间戳用于跨会话排序，两者分别保留。</w:t>
      </w:r>
      <w:r>
        <w:br w:type="page"/>
      </w:r>
    </w:p>
    <w:p w14:paraId="34A6FEB6">
      <w:pPr>
        <w:pStyle w:val="3"/>
        <w:widowControl/>
        <w:spacing w:before="200" w:after="100" w:line="276" w:lineRule="auto"/>
        <w:ind w:firstLine="0"/>
        <w:rPr>
          <w:rFonts w:hint="eastAsia" w:ascii="微软雅黑" w:hAnsi="微软雅黑" w:eastAsia="微软雅黑"/>
          <w:b/>
          <w:color w:val="000000"/>
          <w:sz w:val="30"/>
          <w:lang w:val="en-US" w:eastAsia="zh-CN"/>
        </w:rPr>
      </w:pPr>
      <w:r>
        <w:t>三 多路召回与问题覆盖选择</w:t>
      </w:r>
    </w:p>
    <w:p w14:paraId="6BB3A97F">
      <w:pPr>
        <w:pStyle w:val="4"/>
        <w:spacing w:after="100"/>
      </w:pPr>
      <w:r>
        <w:t>1 问题分析与检索计划</w:t>
      </w:r>
    </w:p>
    <w:p w14:paraId="5050C5B2">
      <w:pPr>
        <w:spacing w:after="100"/>
      </w:pPr>
      <w:r>
        <w:rPr>
          <w:b w:val="0"/>
        </w:rPr>
        <w:t>将问题表示为要点集合 A。例如，“最初为什么选择 MySQL，后来为什么改成 PostgreSQL？”可分为初始选择、初始原因、后续调整和调整原因。另行识别项目名称、产品名称、数字、日期与时间意图，形成结构化检索条件。</w:t>
      </w:r>
    </w:p>
    <w:p w14:paraId="4F44C2B0">
      <w:pPr>
        <w:spacing w:after="100"/>
      </w:pPr>
      <w:r>
        <w:rPr>
          <w:b w:val="0"/>
        </w:rPr>
        <w:t>基础版本使用规则和词典识别常见问题结构。复杂问题可由大模型生成检索子问题，但生成结果只作为检索计划，不作为历史事实。为避免错误扩展，保留原问题检索路径，并记录每个扩展词的来源。</w:t>
      </w:r>
    </w:p>
    <w:p w14:paraId="5AA3AB9C">
      <w:pPr>
        <w:pStyle w:val="4"/>
        <w:spacing w:after="100"/>
      </w:pPr>
      <w:r>
        <w:t>2 三类基础召回路径</w:t>
      </w:r>
    </w:p>
    <w:p w14:paraId="485A06C7">
      <w:pPr>
        <w:spacing w:after="100"/>
      </w:pPr>
      <w:r>
        <w:rPr>
          <w:b w:val="0"/>
        </w:rPr>
        <w:t>关键词路径使用 FTS5 的 BM25 排名。中文文本需先生成适合检索的词项；FTS5 本身不等同于中文分词器。字符路径建立连续中文字符的二元、三元片段索引，补充分词失败、局部匹配及部分错字场景。两条路径具有相关性，仍需通过消融实验判断增益。</w:t>
      </w:r>
    </w:p>
    <w:p w14:paraId="0E22E3EB">
      <w:pPr>
        <w:spacing w:after="100"/>
        <w:rPr>
          <w:b w:val="0"/>
        </w:rPr>
      </w:pPr>
      <w:r>
        <w:rPr>
          <w:b w:val="0"/>
        </w:rPr>
        <w:t>明确线索路径对日期、编号、名称等信息建立精确或规范化匹配。数字与日期可采用规则提取；人名、组织名和项目别称可逐步补充词典或实体识别模型。字符匹配无法充分解决“预算不足”与“价格太贵”等语义差异，必要时增加向量检索。</w:t>
      </w:r>
    </w:p>
    <w:p w14:paraId="658FDCEA">
      <w:pPr>
        <w:pStyle w:val="3"/>
        <w:widowControl/>
        <w:spacing w:before="200" w:after="100" w:line="276" w:lineRule="auto"/>
        <w:ind w:firstLine="0"/>
        <w:rPr>
          <w:rFonts w:hint="eastAsia" w:ascii="微软雅黑" w:hAnsi="微软雅黑" w:eastAsia="微软雅黑"/>
          <w:b/>
          <w:color w:val="000000"/>
          <w:sz w:val="30"/>
          <w:lang w:val="en-US" w:eastAsia="zh-CN"/>
        </w:rPr>
      </w:pPr>
      <w:r>
        <w:t>四 上下文补全与时序证据组织</w:t>
      </w:r>
    </w:p>
    <w:p w14:paraId="695C5F0C">
      <w:pPr>
        <w:pStyle w:val="4"/>
        <w:spacing w:after="100"/>
      </w:pPr>
      <w:r>
        <w:t>1 会话邻域与角色约束</w:t>
      </w:r>
    </w:p>
    <w:p w14:paraId="66873CA0">
      <w:pPr>
        <w:spacing w:after="100"/>
      </w:pPr>
      <w:r>
        <w:rPr>
          <w:b w:val="0"/>
        </w:rPr>
        <w:t>对命中消息，按会话内顺序提取前后少量记录，解决“这个”“按刚才的方案”等指代。邻域必须限定在相同用户和相同会话中，并满足检索指定的时间边界。基础版本采用固定窗口，后续比较按完整问答轮次补全的效果。</w:t>
      </w:r>
    </w:p>
    <w:p w14:paraId="0C9046D2">
      <w:pPr>
        <w:spacing w:after="100"/>
      </w:pPr>
      <w:r>
        <w:rPr>
          <w:b w:val="0"/>
        </w:rPr>
        <w:t>补入的消息明确标注为上下文，不自动获得直接命中资格。系统区分用户陈述、AI 建议和工具结果；只有 AI 提出的方案，不能据此认定用户已经采纳。跨会话记录只有在同一对象和主题有明确联系时才建立关联，并保留关联依据。</w:t>
      </w:r>
    </w:p>
    <w:p w14:paraId="31E6ED6A">
      <w:pPr>
        <w:pStyle w:val="4"/>
        <w:spacing w:after="100"/>
      </w:pPr>
      <w:r>
        <w:t>2 信息变化与冲突处理</w:t>
      </w:r>
    </w:p>
    <w:p w14:paraId="6524E442">
      <w:pPr>
        <w:spacing w:after="100"/>
      </w:pPr>
      <w:r>
        <w:rPr>
          <w:b w:val="0"/>
        </w:rPr>
        <w:t>围绕同一主题按时间排列记录，标注初始陈述、明确修改、再次确认或未解决冲突。询问“现在”时，可优先近期且有明确确认的记录；询问“最初”时保留早期证据；询问“为什么变化”时同时召回变化前后及原因。不能单凭时间较新就判定记录更正确。</w:t>
      </w:r>
    </w:p>
    <w:p w14:paraId="3C728F09">
      <w:pPr>
        <w:spacing w:after="100"/>
      </w:pPr>
      <w:r>
        <w:rPr>
          <w:b w:val="0"/>
        </w:rPr>
        <w:t>基础版本只建立可观察的时间顺序和相邻关系，对语义状态转换采取保守判断。没有明确更正依据时同时返回相互矛盾的原文，提示上层模型说明不确定性；原因缺失时不以时间先后推断因果关系。</w:t>
      </w:r>
    </w:p>
    <w:p w14:paraId="33F68E75">
      <w:pPr>
        <w:pStyle w:val="4"/>
        <w:spacing w:after="100"/>
      </w:pPr>
      <w:r>
        <w:t>3 方法运行示例</w:t>
      </w:r>
    </w:p>
    <w:p w14:paraId="406A0AE1">
      <w:pPr>
        <w:spacing w:after="100"/>
      </w:pPr>
      <w:r>
        <w:rPr>
          <w:b w:val="0"/>
        </w:rPr>
        <w:t>以下为说明处理流程的假设对话，不代表实验结果。新问题为“我最初选了什么数据库，后来为什么修改？”</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984"/>
        <w:gridCol w:w="5102"/>
        <w:gridCol w:w="2324"/>
      </w:tblGrid>
      <w:tr w14:paraId="44DB1F8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984" w:type="dxa"/>
            <w:shd w:val="clear" w:color="auto" w:fill="E5EBF1"/>
            <w:tcMar>
              <w:top w:w="85" w:type="dxa"/>
              <w:left w:w="100" w:type="dxa"/>
              <w:bottom w:w="85" w:type="dxa"/>
              <w:right w:w="100" w:type="dxa"/>
            </w:tcMar>
            <w:vAlign w:val="center"/>
            <w:shd w:fill="D9EAF7"/>
          </w:tcPr>
          <w:p w14:paraId="4C19FC90">
            <w:pPr>
              <w:spacing w:after="40" w:line="259" w:lineRule="auto"/>
              <w:ind w:firstLine="0"/>
            </w:pPr>
            <w:r>
              <w:rPr>
                <w:rFonts w:ascii="Microsoft YaHei" w:hAnsi="Microsoft YaHei" w:eastAsia="Microsoft YaHei"/>
                <w:b/>
                <w:sz w:val="18"/>
              </w:rPr>
              <w:t>记录</w:t>
            </w:r>
          </w:p>
        </w:tc>
        <w:tc>
          <w:tcPr>
            <w:tcW w:w="5102" w:type="dxa"/>
            <w:shd w:val="clear" w:color="auto" w:fill="E5EBF1"/>
            <w:tcMar>
              <w:top w:w="85" w:type="dxa"/>
              <w:left w:w="100" w:type="dxa"/>
              <w:bottom w:w="85" w:type="dxa"/>
              <w:right w:w="100" w:type="dxa"/>
            </w:tcMar>
            <w:vAlign w:val="center"/>
            <w:shd w:fill="D9EAF7"/>
          </w:tcPr>
          <w:p w14:paraId="34E9FE95">
            <w:pPr>
              <w:spacing w:after="40" w:line="259" w:lineRule="auto"/>
              <w:ind w:firstLine="0"/>
            </w:pPr>
            <w:r>
              <w:rPr>
                <w:rFonts w:ascii="Microsoft YaHei" w:hAnsi="Microsoft YaHei" w:eastAsia="Microsoft YaHei"/>
                <w:b/>
                <w:sz w:val="18"/>
              </w:rPr>
              <w:t>假设原文</w:t>
            </w:r>
          </w:p>
        </w:tc>
        <w:tc>
          <w:tcPr>
            <w:tcW w:w="2324" w:type="dxa"/>
            <w:shd w:val="clear" w:color="auto" w:fill="E5EBF1"/>
            <w:tcMar>
              <w:top w:w="85" w:type="dxa"/>
              <w:left w:w="100" w:type="dxa"/>
              <w:bottom w:w="85" w:type="dxa"/>
              <w:right w:w="100" w:type="dxa"/>
            </w:tcMar>
            <w:vAlign w:val="center"/>
            <w:shd w:fill="D9EAF7"/>
          </w:tcPr>
          <w:p w14:paraId="52D45E0D">
            <w:pPr>
              <w:spacing w:after="40" w:line="259" w:lineRule="auto"/>
              <w:ind w:firstLine="0"/>
            </w:pPr>
            <w:r>
              <w:rPr>
                <w:rFonts w:ascii="Microsoft YaHei" w:hAnsi="Microsoft YaHei" w:eastAsia="Microsoft YaHei"/>
                <w:b/>
                <w:sz w:val="18"/>
              </w:rPr>
              <w:t>证据作用</w:t>
            </w:r>
          </w:p>
        </w:tc>
      </w:tr>
      <w:tr w14:paraId="2E17C9E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shd w:val="clear" w:color="auto" w:fill="FFFFFF"/>
            <w:tcMar>
              <w:top w:w="85" w:type="dxa"/>
              <w:left w:w="100" w:type="dxa"/>
              <w:bottom w:w="85" w:type="dxa"/>
              <w:right w:w="100" w:type="dxa"/>
            </w:tcMar>
            <w:vAlign w:val="center"/>
          </w:tcPr>
          <w:p w14:paraId="51A62CA2">
            <w:pPr>
              <w:spacing w:after="40" w:line="259" w:lineRule="auto"/>
              <w:ind w:firstLine="0"/>
            </w:pPr>
            <w:r>
              <w:rPr>
                <w:rFonts w:ascii="Microsoft YaHei" w:hAnsi="Microsoft YaHei" w:eastAsia="Microsoft YaHei"/>
                <w:b w:val="0"/>
                <w:sz w:val="18"/>
              </w:rPr>
              <w:t>E1 用户 第1次会话</w:t>
            </w:r>
          </w:p>
        </w:tc>
        <w:tc>
          <w:tcPr>
            <w:tcW w:w="5102" w:type="dxa"/>
            <w:shd w:val="clear" w:color="auto" w:fill="FFFFFF"/>
            <w:tcMar>
              <w:top w:w="85" w:type="dxa"/>
              <w:left w:w="100" w:type="dxa"/>
              <w:bottom w:w="85" w:type="dxa"/>
              <w:right w:w="100" w:type="dxa"/>
            </w:tcMar>
            <w:vAlign w:val="center"/>
          </w:tcPr>
          <w:p w14:paraId="5B636DB8">
            <w:pPr>
              <w:spacing w:after="40" w:line="259" w:lineRule="auto"/>
              <w:ind w:firstLine="0"/>
            </w:pPr>
            <w:r>
              <w:rPr>
                <w:rFonts w:ascii="Microsoft YaHei" w:hAnsi="Microsoft YaHei" w:eastAsia="Microsoft YaHei"/>
                <w:b w:val="0"/>
                <w:sz w:val="18"/>
              </w:rPr>
              <w:t>毕业设计先用 MySQL，因为我更熟悉它。</w:t>
            </w:r>
          </w:p>
        </w:tc>
        <w:tc>
          <w:tcPr>
            <w:tcW w:w="2324" w:type="dxa"/>
            <w:shd w:val="clear" w:color="auto" w:fill="FFFFFF"/>
            <w:tcMar>
              <w:top w:w="85" w:type="dxa"/>
              <w:left w:w="100" w:type="dxa"/>
              <w:bottom w:w="85" w:type="dxa"/>
              <w:right w:w="100" w:type="dxa"/>
            </w:tcMar>
            <w:vAlign w:val="center"/>
          </w:tcPr>
          <w:p w14:paraId="4C06B3E7">
            <w:pPr>
              <w:spacing w:after="40" w:line="259" w:lineRule="auto"/>
              <w:ind w:firstLine="0"/>
            </w:pPr>
            <w:r>
              <w:rPr>
                <w:rFonts w:ascii="Microsoft YaHei" w:hAnsi="Microsoft YaHei" w:eastAsia="Microsoft YaHei"/>
                <w:b w:val="0"/>
                <w:sz w:val="18"/>
              </w:rPr>
              <w:t>初始选择及原因</w:t>
            </w:r>
          </w:p>
        </w:tc>
      </w:tr>
      <w:tr w14:paraId="647BCD4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shd w:val="clear" w:color="auto" w:fill="FFFFFF"/>
            <w:tcMar>
              <w:top w:w="85" w:type="dxa"/>
              <w:left w:w="100" w:type="dxa"/>
              <w:bottom w:w="85" w:type="dxa"/>
              <w:right w:w="100" w:type="dxa"/>
            </w:tcMar>
            <w:vAlign w:val="center"/>
          </w:tcPr>
          <w:p w14:paraId="1D4DAF4A">
            <w:pPr>
              <w:spacing w:after="40" w:line="259" w:lineRule="auto"/>
              <w:ind w:firstLine="0"/>
            </w:pPr>
            <w:r>
              <w:rPr>
                <w:rFonts w:ascii="Microsoft YaHei" w:hAnsi="Microsoft YaHei" w:eastAsia="Microsoft YaHei"/>
                <w:b w:val="0"/>
                <w:sz w:val="18"/>
              </w:rPr>
              <w:t>E2 用户 第2次会话</w:t>
            </w:r>
          </w:p>
        </w:tc>
        <w:tc>
          <w:tcPr>
            <w:tcW w:w="5102" w:type="dxa"/>
            <w:shd w:val="clear" w:color="auto" w:fill="FFFFFF"/>
            <w:tcMar>
              <w:top w:w="85" w:type="dxa"/>
              <w:left w:w="100" w:type="dxa"/>
              <w:bottom w:w="85" w:type="dxa"/>
              <w:right w:w="100" w:type="dxa"/>
            </w:tcMar>
            <w:vAlign w:val="center"/>
          </w:tcPr>
          <w:p w14:paraId="1BD32D70">
            <w:pPr>
              <w:spacing w:after="40" w:line="259" w:lineRule="auto"/>
              <w:ind w:firstLine="0"/>
            </w:pPr>
            <w:r>
              <w:rPr>
                <w:rFonts w:ascii="Microsoft YaHei" w:hAnsi="Microsoft YaHei" w:eastAsia="Microsoft YaHei"/>
                <w:b w:val="0"/>
                <w:sz w:val="18"/>
              </w:rPr>
              <w:t>项目增加了复杂 JSON 查询需求。</w:t>
            </w:r>
          </w:p>
        </w:tc>
        <w:tc>
          <w:tcPr>
            <w:tcW w:w="2324" w:type="dxa"/>
            <w:shd w:val="clear" w:color="auto" w:fill="FFFFFF"/>
            <w:tcMar>
              <w:top w:w="85" w:type="dxa"/>
              <w:left w:w="100" w:type="dxa"/>
              <w:bottom w:w="85" w:type="dxa"/>
              <w:right w:w="100" w:type="dxa"/>
            </w:tcMar>
            <w:vAlign w:val="center"/>
          </w:tcPr>
          <w:p w14:paraId="6277D7F4">
            <w:pPr>
              <w:spacing w:after="40" w:line="259" w:lineRule="auto"/>
              <w:ind w:firstLine="0"/>
            </w:pPr>
            <w:r>
              <w:rPr>
                <w:rFonts w:ascii="Microsoft YaHei" w:hAnsi="Microsoft YaHei" w:eastAsia="Microsoft YaHei"/>
                <w:b w:val="0"/>
                <w:sz w:val="18"/>
              </w:rPr>
              <w:t>需求变化背景</w:t>
            </w:r>
          </w:p>
        </w:tc>
      </w:tr>
      <w:tr w14:paraId="3F8184B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shd w:val="clear" w:color="auto" w:fill="FFFFFF"/>
            <w:tcMar>
              <w:top w:w="85" w:type="dxa"/>
              <w:left w:w="100" w:type="dxa"/>
              <w:bottom w:w="85" w:type="dxa"/>
              <w:right w:w="100" w:type="dxa"/>
            </w:tcMar>
            <w:vAlign w:val="center"/>
          </w:tcPr>
          <w:p w14:paraId="78A4A7C4">
            <w:pPr>
              <w:spacing w:after="40" w:line="259" w:lineRule="auto"/>
              <w:ind w:firstLine="0"/>
            </w:pPr>
            <w:r>
              <w:rPr>
                <w:rFonts w:ascii="Microsoft YaHei" w:hAnsi="Microsoft YaHei" w:eastAsia="Microsoft YaHei"/>
                <w:b w:val="0"/>
                <w:sz w:val="18"/>
              </w:rPr>
              <w:t>E3 AI 第2次会话</w:t>
            </w:r>
          </w:p>
        </w:tc>
        <w:tc>
          <w:tcPr>
            <w:tcW w:w="5102" w:type="dxa"/>
            <w:shd w:val="clear" w:color="auto" w:fill="FFFFFF"/>
            <w:tcMar>
              <w:top w:w="85" w:type="dxa"/>
              <w:left w:w="100" w:type="dxa"/>
              <w:bottom w:w="85" w:type="dxa"/>
              <w:right w:w="100" w:type="dxa"/>
            </w:tcMar>
            <w:vAlign w:val="center"/>
          </w:tcPr>
          <w:p w14:paraId="3AD092EB">
            <w:pPr>
              <w:spacing w:after="40" w:line="259" w:lineRule="auto"/>
              <w:ind w:firstLine="0"/>
            </w:pPr>
            <w:r>
              <w:rPr>
                <w:rFonts w:ascii="Microsoft YaHei" w:hAnsi="Microsoft YaHei" w:eastAsia="Microsoft YaHei"/>
                <w:b w:val="0"/>
                <w:sz w:val="18"/>
              </w:rPr>
              <w:t>可以考虑 PostgreSQL。</w:t>
            </w:r>
          </w:p>
        </w:tc>
        <w:tc>
          <w:tcPr>
            <w:tcW w:w="2324" w:type="dxa"/>
            <w:shd w:val="clear" w:color="auto" w:fill="FFFFFF"/>
            <w:tcMar>
              <w:top w:w="85" w:type="dxa"/>
              <w:left w:w="100" w:type="dxa"/>
              <w:bottom w:w="85" w:type="dxa"/>
              <w:right w:w="100" w:type="dxa"/>
            </w:tcMar>
            <w:vAlign w:val="center"/>
          </w:tcPr>
          <w:p w14:paraId="55F117E2">
            <w:pPr>
              <w:spacing w:after="40" w:line="259" w:lineRule="auto"/>
              <w:ind w:firstLine="0"/>
            </w:pPr>
            <w:r>
              <w:rPr>
                <w:rFonts w:ascii="Microsoft YaHei" w:hAnsi="Microsoft YaHei" w:eastAsia="Microsoft YaHei"/>
                <w:b w:val="0"/>
                <w:sz w:val="18"/>
              </w:rPr>
              <w:t>建议及指代上下文</w:t>
            </w:r>
          </w:p>
        </w:tc>
      </w:tr>
      <w:tr w14:paraId="58A412B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shd w:val="clear" w:color="auto" w:fill="FFFFFF"/>
            <w:tcMar>
              <w:top w:w="85" w:type="dxa"/>
              <w:left w:w="100" w:type="dxa"/>
              <w:bottom w:w="85" w:type="dxa"/>
              <w:right w:w="100" w:type="dxa"/>
            </w:tcMar>
            <w:vAlign w:val="center"/>
          </w:tcPr>
          <w:p w14:paraId="550E6438">
            <w:pPr>
              <w:spacing w:after="40" w:line="259" w:lineRule="auto"/>
              <w:ind w:firstLine="0"/>
            </w:pPr>
            <w:r>
              <w:rPr>
                <w:rFonts w:ascii="Microsoft YaHei" w:hAnsi="Microsoft YaHei" w:eastAsia="Microsoft YaHei"/>
                <w:b w:val="0"/>
                <w:sz w:val="18"/>
              </w:rPr>
              <w:t>E4 用户 第2次会话</w:t>
            </w:r>
          </w:p>
        </w:tc>
        <w:tc>
          <w:tcPr>
            <w:tcW w:w="5102" w:type="dxa"/>
            <w:shd w:val="clear" w:color="auto" w:fill="FFFFFF"/>
            <w:tcMar>
              <w:top w:w="85" w:type="dxa"/>
              <w:left w:w="100" w:type="dxa"/>
              <w:bottom w:w="85" w:type="dxa"/>
              <w:right w:w="100" w:type="dxa"/>
            </w:tcMar>
            <w:vAlign w:val="center"/>
          </w:tcPr>
          <w:p w14:paraId="54B2BA85">
            <w:pPr>
              <w:spacing w:after="40" w:line="259" w:lineRule="auto"/>
              <w:ind w:firstLine="0"/>
            </w:pPr>
            <w:r>
              <w:rPr>
                <w:rFonts w:ascii="Microsoft YaHei" w:hAnsi="Microsoft YaHei" w:eastAsia="Microsoft YaHei"/>
                <w:b w:val="0"/>
                <w:sz w:val="18"/>
              </w:rPr>
              <w:t>考虑到新增查询需求，就按这个建议改成 PostgreSQL。</w:t>
            </w:r>
          </w:p>
        </w:tc>
        <w:tc>
          <w:tcPr>
            <w:tcW w:w="2324" w:type="dxa"/>
            <w:shd w:val="clear" w:color="auto" w:fill="FFFFFF"/>
            <w:tcMar>
              <w:top w:w="85" w:type="dxa"/>
              <w:left w:w="100" w:type="dxa"/>
              <w:bottom w:w="85" w:type="dxa"/>
              <w:right w:w="100" w:type="dxa"/>
            </w:tcMar>
            <w:vAlign w:val="center"/>
          </w:tcPr>
          <w:p w14:paraId="2574DB2E">
            <w:pPr>
              <w:spacing w:after="40" w:line="259" w:lineRule="auto"/>
              <w:ind w:firstLine="0"/>
            </w:pPr>
            <w:r>
              <w:rPr>
                <w:rFonts w:ascii="Microsoft YaHei" w:hAnsi="Microsoft YaHei" w:eastAsia="Microsoft YaHei"/>
                <w:b w:val="0"/>
                <w:sz w:val="18"/>
              </w:rPr>
              <w:t>明确调整及原因</w:t>
            </w:r>
          </w:p>
        </w:tc>
      </w:tr>
    </w:tbl>
    <w:p w14:paraId="2C7B50F4">
      <w:pPr>
        <w:pStyle w:val="3"/>
        <w:widowControl/>
        <w:spacing w:before="200" w:after="100" w:line="276" w:lineRule="auto"/>
        <w:ind w:firstLine="0"/>
        <w:rPr>
          <w:rFonts w:hint="eastAsia" w:ascii="微软雅黑" w:hAnsi="微软雅黑" w:eastAsia="微软雅黑"/>
          <w:b/>
          <w:color w:val="000000"/>
          <w:sz w:val="30"/>
          <w:lang w:val="en-US" w:eastAsia="zh-CN"/>
        </w:rPr>
      </w:pPr>
      <w:r>
        <w:t>五 AML 评测映射与推进计划</w:t>
      </w:r>
    </w:p>
    <w:p w14:paraId="2BF007AE">
      <w:pPr>
        <w:pStyle w:val="4"/>
        <w:spacing w:after="100"/>
      </w:pPr>
      <w:r>
        <w:t>1 能力覆盖、对照实验与拟贡献</w:t>
      </w:r>
    </w:p>
    <w:p w14:paraId="2C26E836">
      <w:pPr>
        <w:spacing w:after="100"/>
      </w:pPr>
      <w:r>
        <w:t>本研究将现有方法映射到 AML Textual Memory 的能力维度：原文存储与多路召回服务于显式事实召回；问题要点分解、RRF 与覆盖驱动选择服务于关系和多要点证据连接；时序组织服务于时间与事件理解；追加写入、版本关联和冲突保留服务于记忆治理；用户与会话隔离服务于个性化、隐私和证据边界；角色约束与不把 AI 建议当作用户事实服务于认识论安全。拟贡献集中在两个可检验问题：其一，显式问题要点驱动的证据选择是否改善多要点回答；其二，角色约束与时间关系组织是否改善历史变化问题的证据使用。</w:t>
      </w:r>
    </w:p>
    <w:p w14:paraId="4BA201A5">
      <w:pPr>
        <w:spacing w:after="100"/>
      </w:pPr>
      <w:r>
        <w:t>问题覆盖与集合覆盖、MMR 等已有思想相关，时序组织也不等于新增事实知识。方法的新颖性需进一步检索对话记忆、检索增强生成及时间信息检索文献，并通过对照、消融实验明确增量价值。本阶段将其定位为待验证的参赛系统方案，不预先作出性能领先或算法首创判断。比赛正式结果以 AML 固定版本的评测合同、数据集、模型配置和评分规则为准，内部实验结果不等同于排行榜成绩。</w:t>
      </w:r>
    </w:p>
    <w:p w14:paraId="7410FF6E">
      <w:pPr>
        <w:pStyle w:val="4"/>
        <w:spacing w:after="100"/>
      </w:pPr>
      <w:r>
        <w:t>2 AML 参赛实施、接口验收与评测计划</w:t>
      </w:r>
    </w:p>
    <w:p w14:paraId="053EE7AF">
      <w:pPr>
        <w:spacing w:after="100"/>
      </w:pPr>
      <w:r>
        <w:t>参赛实施按以下顺序推进：先完成公开可访问的 Add/Search 服务及版本标识；再使用 AML Key 通过不计分的兼容性冒烟测试，检查请求格式、范围隔离、响应字段、错误处理和稳定性；随后提交评测访问申请，运行完整 Textual Memory 评测套件，并记录数据集版本、流水线版本、模型配置、系统版本和评分规则；最后在评测成功且通过审核后申请发布。公开代码、配置、归因和可复现材料归入 Open-source methods 类别；若以托管 API 形式参赛，则按 Commercial products 类别提供稳定服务。</w:t>
      </w:r>
    </w:p>
    <w:p w14:paraId="3B786F47">
      <w:pPr>
        <w:spacing w:after="100"/>
      </w:pPr>
      <w:r>
        <w:t>实验对照至少包括：仅关键词召回、关键词加字符 n-gram、加入明确线索匹配、加入 RRF、加入问题覆盖选择、加入上下文补全、加入时序与角色约束。报告总体分数之外，还分别统计显式事实召回、关系与多跳推理、时序事件理解、记忆治理、个性化与关怀、规则执行、认识论安全与隐私等能力维度。评测期间不提交或公开基准语料、保留问题、金标准答案、私有标注、检索结果、模型输出、日志、密钥和部署秘密。</w:t>
      </w:r>
    </w:p>
    <w:tbl>
      <w:tblPr>
        <w:tblStyle w:val="33"/>
        <w:tblW w:type="auto" w:w="0"/>
        <w:jc w:val="center"/>
        <w:tblLook w:firstColumn="1" w:firstRow="1" w:lastColumn="0" w:lastRow="0" w:noHBand="0" w:noVBand="1" w:val="04A0"/>
      </w:tblPr>
      <w:tblGrid>
        <w:gridCol w:w="3137"/>
        <w:gridCol w:w="3137"/>
        <w:gridCol w:w="3137"/>
      </w:tblGrid>
      <w:tr>
        <w:tc>
          <w:tcPr>
            <w:tcW w:type="dxa" w:w="3137"/>
            <w:vAlign w:val="center"/>
            <w:shd w:fill="D9EAF7"/>
          </w:tcPr>
          <w:p>
            <w:pPr>
              <w:spacing w:after="40"/>
            </w:pPr>
            <w:r>
              <w:rPr>
                <w:rFonts w:ascii="Microsoft YaHei" w:hAnsi="Microsoft YaHei" w:eastAsia="Microsoft YaHei"/>
                <w:b/>
                <w:sz w:val="18"/>
              </w:rPr>
              <w:t>AML 要求</w:t>
            </w:r>
          </w:p>
        </w:tc>
        <w:tc>
          <w:tcPr>
            <w:tcW w:type="dxa" w:w="3137"/>
            <w:vAlign w:val="center"/>
            <w:shd w:fill="D9EAF7"/>
          </w:tcPr>
          <w:p>
            <w:pPr>
              <w:spacing w:after="40"/>
            </w:pPr>
            <w:r>
              <w:rPr>
                <w:rFonts w:ascii="Microsoft YaHei" w:hAnsi="Microsoft YaHei" w:eastAsia="Microsoft YaHei"/>
                <w:b/>
                <w:sz w:val="18"/>
              </w:rPr>
              <w:t>本方案对应设计</w:t>
            </w:r>
          </w:p>
        </w:tc>
        <w:tc>
          <w:tcPr>
            <w:tcW w:type="dxa" w:w="3137"/>
            <w:vAlign w:val="center"/>
            <w:shd w:fill="D9EAF7"/>
          </w:tcPr>
          <w:p>
            <w:pPr>
              <w:spacing w:after="40"/>
            </w:pPr>
            <w:r>
              <w:rPr>
                <w:rFonts w:ascii="Microsoft YaHei" w:hAnsi="Microsoft YaHei" w:eastAsia="Microsoft YaHei"/>
                <w:b/>
                <w:sz w:val="18"/>
              </w:rPr>
              <w:t>验收证据</w:t>
            </w:r>
          </w:p>
        </w:tc>
      </w:tr>
      <w:tr>
        <w:tc>
          <w:tcPr>
            <w:tcW w:type="dxa" w:w="3137"/>
            <w:vAlign w:val="center"/>
          </w:tcPr>
          <w:p>
            <w:pPr>
              <w:spacing w:after="40"/>
            </w:pPr>
            <w:r>
              <w:rPr>
                <w:rFonts w:ascii="Microsoft YaHei" w:hAnsi="Microsoft YaHei" w:eastAsia="Microsoft YaHei"/>
                <w:sz w:val="18"/>
              </w:rPr>
              <w:t>仅暴露 Add / Search</w:t>
            </w:r>
          </w:p>
        </w:tc>
        <w:tc>
          <w:tcPr>
            <w:tcW w:type="dxa" w:w="3137"/>
            <w:vAlign w:val="center"/>
          </w:tcPr>
          <w:p>
            <w:pPr>
              <w:spacing w:after="40"/>
            </w:pPr>
            <w:r>
              <w:rPr>
                <w:rFonts w:ascii="Microsoft YaHei" w:hAnsi="Microsoft YaHei" w:eastAsia="Microsoft YaHei"/>
                <w:sz w:val="18"/>
              </w:rPr>
              <w:t>Add 写入原文与元数据；Search 多路召回并返回证据，不生成答案</w:t>
            </w:r>
          </w:p>
        </w:tc>
        <w:tc>
          <w:tcPr>
            <w:tcW w:type="dxa" w:w="3137"/>
            <w:vAlign w:val="center"/>
          </w:tcPr>
          <w:p>
            <w:pPr>
              <w:spacing w:after="40"/>
            </w:pPr>
            <w:r>
              <w:rPr>
                <w:rFonts w:ascii="Microsoft YaHei" w:hAnsi="Microsoft YaHei" w:eastAsia="Microsoft YaHei"/>
                <w:sz w:val="18"/>
              </w:rPr>
              <w:t>接口文档、请求响应样例</w:t>
            </w:r>
          </w:p>
        </w:tc>
      </w:tr>
      <w:tr>
        <w:tc>
          <w:tcPr>
            <w:tcW w:type="dxa" w:w="3137"/>
            <w:vAlign w:val="center"/>
          </w:tcPr>
          <w:p>
            <w:pPr>
              <w:spacing w:after="40"/>
            </w:pPr>
            <w:r>
              <w:rPr>
                <w:rFonts w:ascii="Microsoft YaHei" w:hAnsi="Microsoft YaHei" w:eastAsia="Microsoft YaHei"/>
                <w:sz w:val="18"/>
              </w:rPr>
              <w:t>平台固定回答与评测</w:t>
            </w:r>
          </w:p>
        </w:tc>
        <w:tc>
          <w:tcPr>
            <w:tcW w:type="dxa" w:w="3137"/>
            <w:vAlign w:val="center"/>
          </w:tcPr>
          <w:p>
            <w:pPr>
              <w:spacing w:after="40"/>
            </w:pPr>
            <w:r>
              <w:rPr>
                <w:rFonts w:ascii="Microsoft YaHei" w:hAnsi="Microsoft YaHei" w:eastAsia="Microsoft YaHei"/>
                <w:sz w:val="18"/>
              </w:rPr>
              <w:t>由 AML 统一控制答案生成、评测、聚合和编排</w:t>
            </w:r>
          </w:p>
        </w:tc>
        <w:tc>
          <w:tcPr>
            <w:tcW w:type="dxa" w:w="3137"/>
            <w:vAlign w:val="center"/>
          </w:tcPr>
          <w:p>
            <w:pPr>
              <w:spacing w:after="40"/>
            </w:pPr>
            <w:r>
              <w:rPr>
                <w:rFonts w:ascii="Microsoft YaHei" w:hAnsi="Microsoft YaHei" w:eastAsia="Microsoft YaHei"/>
                <w:sz w:val="18"/>
              </w:rPr>
              <w:t>评测合同与运行记录</w:t>
            </w:r>
          </w:p>
        </w:tc>
      </w:tr>
      <w:tr>
        <w:tc>
          <w:tcPr>
            <w:tcW w:type="dxa" w:w="3137"/>
            <w:vAlign w:val="center"/>
          </w:tcPr>
          <w:p>
            <w:pPr>
              <w:spacing w:after="40"/>
            </w:pPr>
            <w:r>
              <w:rPr>
                <w:rFonts w:ascii="Microsoft YaHei" w:hAnsi="Microsoft YaHei" w:eastAsia="Microsoft YaHei"/>
                <w:sz w:val="18"/>
              </w:rPr>
              <w:t>跨能力覆盖</w:t>
            </w:r>
          </w:p>
        </w:tc>
        <w:tc>
          <w:tcPr>
            <w:tcW w:type="dxa" w:w="3137"/>
            <w:vAlign w:val="center"/>
          </w:tcPr>
          <w:p>
            <w:pPr>
              <w:spacing w:after="40"/>
            </w:pPr>
            <w:r>
              <w:rPr>
                <w:rFonts w:ascii="Microsoft YaHei" w:hAnsi="Microsoft YaHei" w:eastAsia="Microsoft YaHei"/>
                <w:sz w:val="18"/>
              </w:rPr>
              <w:t>事实、关系/多跳、时序、治理、个性化、规则、安全与隐私</w:t>
            </w:r>
          </w:p>
        </w:tc>
        <w:tc>
          <w:tcPr>
            <w:tcW w:type="dxa" w:w="3137"/>
            <w:vAlign w:val="center"/>
          </w:tcPr>
          <w:p>
            <w:pPr>
              <w:spacing w:after="40"/>
            </w:pPr>
            <w:r>
              <w:rPr>
                <w:rFonts w:ascii="Microsoft YaHei" w:hAnsi="Microsoft YaHei" w:eastAsia="Microsoft YaHei"/>
                <w:sz w:val="18"/>
              </w:rPr>
              <w:t>能力分项指标与消融实验</w:t>
            </w:r>
          </w:p>
        </w:tc>
      </w:tr>
      <w:tr>
        <w:tc>
          <w:tcPr>
            <w:tcW w:type="dxa" w:w="3137"/>
            <w:vAlign w:val="center"/>
          </w:tcPr>
          <w:p>
            <w:pPr>
              <w:spacing w:after="40"/>
            </w:pPr>
            <w:r>
              <w:rPr>
                <w:rFonts w:ascii="Microsoft YaHei" w:hAnsi="Microsoft YaHei" w:eastAsia="Microsoft YaHei"/>
                <w:sz w:val="18"/>
              </w:rPr>
              <w:t>可复现与版本化</w:t>
            </w:r>
          </w:p>
        </w:tc>
        <w:tc>
          <w:tcPr>
            <w:tcW w:type="dxa" w:w="3137"/>
            <w:vAlign w:val="center"/>
          </w:tcPr>
          <w:p>
            <w:pPr>
              <w:spacing w:after="40"/>
            </w:pPr>
            <w:r>
              <w:rPr>
                <w:rFonts w:ascii="Microsoft YaHei" w:hAnsi="Microsoft YaHei" w:eastAsia="Microsoft YaHei"/>
                <w:sz w:val="18"/>
              </w:rPr>
              <w:t>记录数据集、流水线、模型、评分规则和系统版本</w:t>
            </w:r>
          </w:p>
        </w:tc>
        <w:tc>
          <w:tcPr>
            <w:tcW w:type="dxa" w:w="3137"/>
            <w:vAlign w:val="center"/>
          </w:tcPr>
          <w:p>
            <w:pPr>
              <w:spacing w:after="40"/>
            </w:pPr>
            <w:r>
              <w:rPr>
                <w:rFonts w:ascii="Microsoft YaHei" w:hAnsi="Microsoft YaHei" w:eastAsia="Microsoft YaHei"/>
                <w:sz w:val="18"/>
              </w:rPr>
              <w:t>版本清单、配置和公开材料</w:t>
            </w:r>
          </w:p>
        </w:tc>
      </w:tr>
      <w:tr>
        <w:tc>
          <w:tcPr>
            <w:tcW w:type="dxa" w:w="3137"/>
            <w:vAlign w:val="center"/>
          </w:tcPr>
          <w:p>
            <w:pPr>
              <w:spacing w:after="40"/>
            </w:pPr>
            <w:r>
              <w:rPr>
                <w:rFonts w:ascii="Microsoft YaHei" w:hAnsi="Microsoft YaHei" w:eastAsia="Microsoft YaHei"/>
                <w:sz w:val="18"/>
              </w:rPr>
              <w:t>提交与发布流程</w:t>
            </w:r>
          </w:p>
        </w:tc>
        <w:tc>
          <w:tcPr>
            <w:tcW w:type="dxa" w:w="3137"/>
            <w:vAlign w:val="center"/>
          </w:tcPr>
          <w:p>
            <w:pPr>
              <w:spacing w:after="40"/>
            </w:pPr>
            <w:r>
              <w:rPr>
                <w:rFonts w:ascii="Microsoft YaHei" w:hAnsi="Microsoft YaHei" w:eastAsia="Microsoft YaHei"/>
                <w:sz w:val="18"/>
              </w:rPr>
              <w:t>兼容性冒烟测试 → 完整评测 → 审核发布</w:t>
            </w:r>
          </w:p>
        </w:tc>
        <w:tc>
          <w:tcPr>
            <w:tcW w:type="dxa" w:w="3137"/>
            <w:vAlign w:val="center"/>
          </w:tcPr>
          <w:p>
            <w:pPr>
              <w:spacing w:after="40"/>
            </w:pPr>
            <w:r>
              <w:rPr>
                <w:rFonts w:ascii="Microsoft YaHei" w:hAnsi="Microsoft YaHei" w:eastAsia="Microsoft YaHei"/>
                <w:sz w:val="18"/>
              </w:rPr>
              <w:t>测试通过记录与发布申请</w:t>
            </w:r>
          </w:p>
        </w:tc>
      </w:tr>
    </w:tbl>
    <w:p w14:paraId="7DB2B4FF">
      <w:pPr>
        <w:spacing w:after="100"/>
      </w:pPr>
      <w:r>
        <w:t>3 主要困难及应对</w:t>
      </w:r>
    </w:p>
    <w:sectPr>
      <w:footerReference r:id="rId5" w:type="default"/>
      <w:pgSz w:w="11906" w:h="16838"/>
      <w:pgMar w:top="1152" w:right="1224" w:bottom="1080" w:left="1224" w:header="720" w:footer="48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微软雅黑">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97CDB">
    <w:pPr>
      <w:pStyle w:val="24"/>
      <w:ind w:firstLine="0"/>
      <w:jc w:val="center"/>
    </w:pPr>
    <w:r>
      <w:rPr>
        <w:rFonts w:ascii="Microsoft YaHei" w:hAnsi="Microsoft YaHei"/>
        <w:color w:val="646464"/>
        <w:sz w:val="16"/>
      </w:rPr>
      <w:t>AML Agent Memory 参赛适配研究方案</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93" w:lineRule="auto"/>
      </w:pPr>
      <w:r>
        <w:separator/>
      </w:r>
    </w:p>
  </w:footnote>
  <w:footnote w:type="continuationSeparator" w:id="1">
    <w:p>
      <w:pPr>
        <w:spacing w:before="0" w:after="0" w:line="293"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94A38C6"/>
    <w:rsid w:val="1735378C"/>
    <w:rsid w:val="22377F42"/>
    <w:rsid w:val="2EC83D03"/>
    <w:rsid w:val="4058523F"/>
    <w:rsid w:val="4BCD0E40"/>
    <w:rsid w:val="523227C6"/>
    <w:rsid w:val="587A0A23"/>
    <w:rsid w:val="64707B9C"/>
    <w:rsid w:val="647153D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before="0" w:after="140" w:line="293" w:lineRule="auto"/>
      <w:ind w:firstLine="454"/>
    </w:pPr>
    <w:rPr>
      <w:rFonts w:ascii="Microsoft YaHei" w:hAnsi="Microsoft YaHei" w:eastAsia="Microsoft YaHei" w:cstheme="minorBidi"/>
      <w:color w:val="000000"/>
      <w:sz w:val="21"/>
      <w:szCs w:val="22"/>
      <w:lang w:val="en-US" w:eastAsia="en-US" w:bidi="ar-SA"/>
    </w:rPr>
  </w:style>
  <w:style w:type="paragraph" w:styleId="3">
    <w:name w:val="heading 1"/>
    <w:basedOn w:val="1"/>
    <w:next w:val="1"/>
    <w:link w:val="138"/>
    <w:qFormat/>
    <w:uiPriority w:val="9"/>
    <w:pPr>
      <w:keepNext/>
      <w:keepLines/>
      <w:spacing w:before="200" w:after="160"/>
      <w:ind w:firstLine="0"/>
      <w:outlineLvl w:val="0"/>
    </w:pPr>
    <w:rPr>
      <w:rFonts w:asciiTheme="majorHAnsi" w:hAnsiTheme="majorHAnsi" w:eastAsiaTheme="majorEastAsia" w:cstheme="majorBidi" w:ascii="Microsoft YaHei" w:hAnsi="Microsoft YaHei" w:eastAsia="Microsoft YaHei"/>
      <w:b/>
      <w:bCs/>
      <w:color w:val="000000"/>
      <w:sz w:val="28"/>
      <w:szCs w:val="28"/>
    </w:rPr>
  </w:style>
  <w:style w:type="paragraph" w:styleId="4">
    <w:name w:val="heading 2"/>
    <w:basedOn w:val="1"/>
    <w:next w:val="1"/>
    <w:link w:val="139"/>
    <w:unhideWhenUsed/>
    <w:qFormat/>
    <w:uiPriority w:val="9"/>
    <w:pPr>
      <w:keepNext/>
      <w:keepLines/>
      <w:spacing w:before="200" w:after="160"/>
      <w:ind w:firstLine="0"/>
      <w:outlineLvl w:val="1"/>
    </w:pPr>
    <w:rPr>
      <w:rFonts w:asciiTheme="majorHAnsi" w:hAnsiTheme="majorHAnsi" w:eastAsiaTheme="majorEastAsia" w:cstheme="majorBidi" w:ascii="Microsoft YaHei" w:hAnsi="Microsoft YaHei" w:eastAsia="Microsoft YaHei"/>
      <w:b/>
      <w:bCs/>
      <w:color w:val="000000"/>
      <w:sz w:val="23"/>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before="0" w:after="140" w:line="240" w:lineRule="auto"/>
    </w:pPr>
    <w:rPr>
      <w:rFonts w:ascii="Calibri" w:hAnsi="Calibri" w:eastAsia="黑体"/>
      <w:b/>
      <w:bCs/>
      <w:color w:val="000000"/>
      <w:sz w:val="18"/>
      <w:szCs w:val="18"/>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pPr>
      <w:spacing w:before="0" w:after="140"/>
    </w:pPr>
    <w:rPr>
      <w:rFonts w:asciiTheme="majorHAnsi" w:hAnsiTheme="majorHAnsi" w:eastAsiaTheme="majorEastAsia" w:cstheme="majorBidi"/>
      <w:i/>
      <w:iCs/>
      <w:color w:val="000000"/>
      <w:spacing w:val="15"/>
      <w:sz w:val="24"/>
      <w:szCs w:val="24"/>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keepNext/>
      <w:pBdr>
        <w:bottom w:val="single" w:color="4F81BD" w:themeColor="accent1" w:sz="8" w:space="4"/>
      </w:pBdr>
      <w:spacing w:before="0" w:after="160" w:line="240" w:lineRule="auto"/>
      <w:ind w:firstLine="0"/>
      <w:contextualSpacing/>
    </w:pPr>
    <w:rPr>
      <w:rFonts w:asciiTheme="majorHAnsi" w:hAnsiTheme="majorHAnsi" w:eastAsiaTheme="majorEastAsia" w:cstheme="majorBidi" w:ascii="Microsoft YaHei" w:hAnsi="Microsoft YaHei" w:eastAsia="Microsoft YaHei"/>
      <w:b/>
      <w:color w:val="000000"/>
      <w:spacing w:val="5"/>
      <w:kern w:val="28"/>
      <w:sz w:val="40"/>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5410</Words>
  <Characters>5658</Characters>
  <Lines>0</Lines>
  <Paragraphs>0</Paragraphs>
  <TotalTime>4</TotalTime>
  <ScaleCrop>false</ScaleCrop>
  <LinksUpToDate>false</LinksUpToDate>
  <CharactersWithSpaces>5812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WPS_1641996127</dc:creator>
  <dc:description>generated by python-docx</dc:description>
  <cp:keywords>历史对话 长期记忆 证据检索 问题覆盖 时序证据链</cp:keywords>
  <cp:lastModifiedBy>WPS_1641996127</cp:lastModifiedBy>
  <dcterms:modified xsi:type="dcterms:W3CDTF">2026-10-24T09:44:55Z</dcterms:modified>
  <dc:subject>问题覆盖驱动的原始对话证据检索研究方案</dc:subject>
  <dc:title>历史对话记忆与时序证据链检索方法研究方案汇报</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eyJoZGlkIjoiY2E1ZWEzMTEyNDBmNzhmZWQwZWMzMGRiNDg3Nzc1ZTkiLCJ1c2VySWQiOiIxMzEzNDY2OTczIn0=</vt:lpwstr>
  </property>
  <property fmtid="{D5CDD505-2E9C-101B-9397-08002B2CF9AE}" pid="3" name="KSOProductBuildVer">
    <vt:lpwstr>2052-12.1.0.28505</vt:lpwstr>
  </property>
  <property fmtid="{D5CDD505-2E9C-101B-9397-08002B2CF9AE}" pid="4" name="ICV">
    <vt:lpwstr>3E6AB764989142A7B603BB36926D4C4B_12</vt:lpwstr>
  </property>
</Properties>
</file>