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000000"/>
          <w:sz w:val="36"/>
          <w:szCs w:val="36"/>
        </w:rPr>
      </w:pPr>
      <w:r w:rsidDel="00000000" w:rsidR="00000000" w:rsidRPr="00000000">
        <w:rPr>
          <w:b w:val="1"/>
          <w:bCs w:val="1"/>
          <w:color w:val="000000"/>
          <w:sz w:val="36"/>
          <w:szCs w:val="36"/>
          <w:rtl w:val="0"/>
        </w:rPr>
        <w:t xml:space="preserve">Abstract template</w:t>
      </w:r>
    </w:p>
    <w:p w:rsidR="00000000" w:rsidDel="00000000" w:rsidP="00000000" w:rsidRDefault="00000000" w:rsidRPr="00000000" w14:paraId="00000002">
      <w:pPr>
        <w:rPr>
          <w:b w:val="1"/>
          <w:bCs w:val="1"/>
          <w:color w:val="2f5496"/>
          <w:sz w:val="28"/>
          <w:szCs w:val="28"/>
        </w:rPr>
      </w:pPr>
      <w:r w:rsidDel="00000000" w:rsidR="00000000" w:rsidRPr="00000000">
        <w:rPr>
          <w:rtl w:val="0"/>
        </w:rPr>
      </w:r>
    </w:p>
    <w:p w:rsidR="00000000" w:rsidDel="00000000" w:rsidP="00000000" w:rsidRDefault="00000000" w:rsidRPr="00000000" w14:paraId="00000003">
      <w:pPr>
        <w:rPr>
          <w:b w:val="1"/>
          <w:bCs w:val="1"/>
          <w:color w:val="2f5496"/>
          <w:sz w:val="28"/>
          <w:szCs w:val="28"/>
        </w:rPr>
      </w:pPr>
      <w:r w:rsidDel="00000000" w:rsidR="00000000" w:rsidRPr="00000000">
        <w:rPr>
          <w:b w:val="1"/>
          <w:bCs w:val="1"/>
          <w:color w:val="2f5496"/>
          <w:sz w:val="28"/>
          <w:szCs w:val="28"/>
          <w:rtl w:val="0"/>
        </w:rPr>
        <w:t xml:space="preserve">Title: The Impact of Socioeconomic Factors on DNR Orders Adjusting for Clinical Prognosis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rFonts w:ascii="Aptos" w:cs="Aptos" w:eastAsia="Aptos" w:hAnsi="Aptos"/>
          <w:b w:val="1"/>
          <w:bCs w:val="1"/>
        </w:rPr>
      </w:pPr>
      <w:r w:rsidDel="00000000" w:rsidR="00000000" w:rsidRPr="00000000">
        <w:rPr>
          <w:b w:val="1"/>
          <w:bCs w:val="1"/>
          <w:color w:val="2f5496"/>
          <w:sz w:val="28"/>
          <w:szCs w:val="28"/>
          <w:rtl w:val="0"/>
        </w:rPr>
        <w:t xml:space="preserve">Authors: M. Albergoni, A. Bekaj, R. R. Rengifo Ybarra, T. Spadari, M. Torcasio</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color w:val="000000"/>
          <w:sz w:val="26"/>
          <w:szCs w:val="26"/>
        </w:rPr>
      </w:pPr>
      <w:r w:rsidDel="00000000" w:rsidR="00000000" w:rsidRPr="00000000">
        <w:rPr>
          <w:b w:val="1"/>
          <w:bCs w:val="1"/>
          <w:color w:val="2f5496"/>
          <w:sz w:val="28"/>
          <w:szCs w:val="28"/>
          <w:rtl w:val="0"/>
        </w:rPr>
        <w:t xml:space="preserve">Purpose</w:t>
      </w: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rtl w:val="0"/>
        </w:rPr>
        <w:t xml:space="preserve">Do-Not-Resuscitate (DNR) orders are critical in managing critically ill patients. Ideally, these decisions should be strictly dictated by clinical prognosis; however, non-clinical elements may heavily bias them. This study aims to determine whether, under equal clinical severity, socioeconomic and demographic variables significantly influence the timing and likelihood of receiving a DNR order. </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f5496"/>
          <w:sz w:val="28"/>
          <w:szCs w:val="28"/>
        </w:rPr>
      </w:pPr>
      <w:r w:rsidDel="00000000" w:rsidR="00000000" w:rsidRPr="00000000">
        <w:rPr>
          <w:rFonts w:ascii="Calibri" w:cs="Calibri" w:eastAsia="Calibri" w:hAnsi="Calibri"/>
          <w:b w:val="1"/>
          <w:bCs w:val="1"/>
          <w:i w:val="0"/>
          <w:iCs w:val="0"/>
          <w:smallCaps w:val="0"/>
          <w:strike w:val="0"/>
          <w:color w:val="2f5496"/>
          <w:sz w:val="28"/>
          <w:szCs w:val="28"/>
          <w:u w:val="none"/>
          <w:shd w:fill="auto" w:val="clear"/>
          <w:vertAlign w:val="baseline"/>
          <w:rtl w:val="0"/>
        </w:rPr>
        <w:t xml:space="preserve">Materials and methods</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 analyzed the SUPPORT2 dataset (9,105 patients). To eliminate immortal time bias, temporal auditing and landmark analysis were implemented at Day 3, yielding 7,830 eligible patients. Following hierarchical clinical cleaning and outlier screening , missing values were handled via non-linear Multiple Imputation by Chained Equations (MICE). Clinical severity was standardized using a Gaussian Mixture Model (GMM) for stratified clustering ($k=3$) across pathology cohorts. A stratified Cox model served as the primary analysis. </w:t>
      </w:r>
      <w:r w:rsidDel="00000000" w:rsidR="00000000" w:rsidRPr="00000000">
        <w:rPr>
          <w:rtl w:val="0"/>
        </w:rPr>
        <w:t xml:space="preserve">Two sensitivity analyses assessed robustness: a global Random Forest model with SHAP feature importance and intersectional profile simulation on the full cohort, and a 1:1 DNR/no-DNR matching approach followed by conditional logistic regression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2f5496"/>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8"/>
          <w:szCs w:val="28"/>
          <w:u w:val="none"/>
          <w:shd w:fill="auto" w:val="clear"/>
          <w:vertAlign w:val="baseline"/>
          <w:rtl w:val="0"/>
        </w:rPr>
        <w:t xml:space="preserve">Results</w:t>
      </w:r>
    </w:p>
    <w:p w:rsidR="00000000" w:rsidDel="00000000" w:rsidP="00000000" w:rsidRDefault="00000000" w:rsidRPr="00000000" w14:paraId="0000000D">
      <w:pPr>
        <w:rPr/>
      </w:pPr>
      <w:r w:rsidDel="00000000" w:rsidR="00000000" w:rsidRPr="00000000">
        <w:rPr>
          <w:rtl w:val="0"/>
        </w:rPr>
        <w:t xml:space="preserve">In the main analysis, the Cox model showed moderate discrimination, with a C-index of 0.66. The strongest DNR drivers were clinical: metastatic cancer (HR≈1.99), cancer (HR≈1.57). After adjustment, sex and very low income were not clearly associated with DNR. Conversely, Black (HR≈0.85) and Hispanic (HR≈0.73) ethnicity were associated with a lower hazard of receiving a DNR order compared to White patients; income $25–50k also showed a lower hazard (HR≈0.80). In the Random Forest sensitivity analysis, SHAP values confirmed the global dominance of clinical features; however, when simulating intersectional profiles, predicted DNR probabilities varied moderately across race-income combinations without a simple linear pattern. In the matching analysis (1,867 pairs) the Black race effect was significant in the base model but lost significance after additional adjustment for residual clinical imbalance, while clinical variables remained dominant.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alibri" w:cs="Calibri" w:eastAsia="Calibri" w:hAnsi="Calibri"/>
          <w:b w:val="1"/>
          <w:bCs w:val="1"/>
          <w:i w:val="0"/>
          <w:iCs w:val="0"/>
          <w:smallCaps w:val="0"/>
          <w:strike w:val="0"/>
          <w:color w:val="2f5496"/>
          <w:sz w:val="28"/>
          <w:szCs w:val="28"/>
          <w:u w:val="none"/>
          <w:shd w:fill="auto" w:val="clear"/>
          <w:vertAlign w:val="baseline"/>
          <w:rtl w:val="0"/>
        </w:rPr>
        <w:t xml:space="preserve">Conclusions</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DNR decisions are primarily driven by biological severity and prognosis, though residual sociodemographic and demographic signals persist. These findings do not imply direct causality or discrimination. Key limitations include class imbalance, potential Simpson’s paradox , death as a competing event, clustering design choices, and unmeasured confounding.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f5496"/>
          <w:sz w:val="28"/>
          <w:szCs w:val="28"/>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sectPr>
      <w:pgSz w:h="16838" w:w="11906" w:orient="portrait"/>
      <w:pgMar w:bottom="1134" w:top="1417"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i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cDTBp3DvcLWyZMAb88+sEdmjdA==">CgMxLjA4AHIhMUNkUmRESk9lN09LbGZZeXVmbVQzTFZYTlBqbXVzQ3dq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