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r>
        <w:rPr>
          <w:rFonts w:ascii="Arial" w:cs="Arial" w:eastAsia="Arial" w:hAnsi="Arial"/>
          <w:b w:val="false"/>
          <w:bCs w:val="false"/>
          <w:i w:val="false"/>
          <w:iCs w:val="false"/>
          <w:color w:val="000000"/>
          <w:sz w:val="20"/>
          <w:szCs w:val="20"/>
        </w:rPr>
        <w:t xml:space="preserve"/>
      </w:r>
    </w:p>
    <w:p>
      <w:pPr>
        <w:spacing w:after="320" w:before="0"/>
        <w:jc w:val="right"/>
      </w:pPr>
      <w:r>
        <w:rPr>
          <w:rFonts w:ascii="Arial" w:cs="Arial" w:eastAsia="Arial" w:hAnsi="Arial"/>
          <w:b/>
          <w:bCs/>
          <w:i w:val="false"/>
          <w:iCs w:val="false"/>
          <w:color w:val="000000"/>
          <w:sz w:val="30"/>
          <w:szCs w:val="30"/>
        </w:rPr>
        <w:t xml:space="preserve">FERREMAX — Sistema Web de Gestión para Ferretería</w:t>
      </w:r>
    </w:p>
    <w:p>
      <w:pPr>
        <w:spacing w:after="160" w:before="0"/>
        <w:jc w:val="right"/>
      </w:pPr>
      <w:r>
        <w:rPr>
          <w:rFonts w:ascii="Arial" w:cs="Arial" w:eastAsia="Arial" w:hAnsi="Arial"/>
          <w:b/>
          <w:bCs/>
          <w:i w:val="false"/>
          <w:iCs w:val="false"/>
          <w:color w:val="000000"/>
          <w:sz w:val="30"/>
          <w:szCs w:val="30"/>
        </w:rPr>
        <w:t xml:space="preserve">Matriz de Trazabilidad</w:t>
      </w:r>
    </w:p>
    <w:p>
      <w:pPr>
        <w:spacing w:after="160" w:before="0"/>
        <w:jc w:val="right"/>
      </w:pPr>
      <w:r>
        <w:rPr>
          <w:rFonts w:ascii="Arial" w:cs="Arial" w:eastAsia="Arial" w:hAnsi="Arial"/>
          <w:b/>
          <w:bCs/>
          <w:i w:val="false"/>
          <w:iCs w:val="false"/>
          <w:color w:val="000000"/>
          <w:sz w:val="26"/>
          <w:szCs w:val="26"/>
        </w:rPr>
        <w:t xml:space="preserve">Requisitos ↔ Casos de Uso</w:t>
      </w:r>
    </w:p>
    <w:p>
      <w:pPr>
        <w:spacing w:after="600" w:before="0"/>
        <w:jc w:val="right"/>
      </w:pPr>
      <w:r>
        <w:rPr>
          <w:rFonts w:ascii="Arial" w:cs="Arial" w:eastAsia="Arial" w:hAnsi="Arial"/>
          <w:b/>
          <w:bCs/>
          <w:i w:val="false"/>
          <w:iCs w:val="false"/>
          <w:color w:val="000000"/>
          <w:sz w:val="22"/>
          <w:szCs w:val="22"/>
        </w:rPr>
        <w:t xml:space="preserve">Versión 1.0</w:t>
      </w:r>
    </w:p>
    <w:p>
      <w:pPr>
        <w:spacing w:after="50"/>
        <w:jc w:val="right"/>
      </w:pPr>
      <w:r>
        <w:rPr>
          <w:rFonts w:ascii="Arial" w:cs="Arial" w:eastAsia="Arial" w:hAnsi="Arial"/>
          <w:b w:val="false"/>
          <w:bCs w:val="false"/>
          <w:i w:val="false"/>
          <w:iCs w:val="false"/>
          <w:color w:val="000000"/>
          <w:sz w:val="19"/>
          <w:szCs w:val="19"/>
        </w:rPr>
        <w:t xml:space="preserve">Universidad Nacional Mayor de San Marcos</w:t>
      </w:r>
    </w:p>
    <w:p>
      <w:pPr>
        <w:spacing w:after="50"/>
        <w:jc w:val="right"/>
      </w:pPr>
      <w:r>
        <w:rPr>
          <w:rFonts w:ascii="Arial" w:cs="Arial" w:eastAsia="Arial" w:hAnsi="Arial"/>
          <w:b w:val="false"/>
          <w:bCs w:val="false"/>
          <w:i w:val="false"/>
          <w:iCs w:val="false"/>
          <w:color w:val="000000"/>
          <w:sz w:val="19"/>
          <w:szCs w:val="19"/>
        </w:rPr>
        <w:t xml:space="preserve">Facultad de Ingeniería de Sistemas e Informática</w:t>
      </w:r>
    </w:p>
    <w:p>
      <w:pPr>
        <w:spacing w:after="50"/>
        <w:jc w:val="right"/>
      </w:pPr>
      <w:r>
        <w:rPr>
          <w:rFonts w:ascii="Arial" w:cs="Arial" w:eastAsia="Arial" w:hAnsi="Arial"/>
          <w:b w:val="false"/>
          <w:bCs w:val="false"/>
          <w:i w:val="false"/>
          <w:iCs w:val="false"/>
          <w:color w:val="000000"/>
          <w:sz w:val="19"/>
          <w:szCs w:val="19"/>
        </w:rPr>
        <w:t xml:space="preserve">Curso: Diseño de Software  ·  Docente: Espinoza Robles, Armando David</w:t>
      </w:r>
    </w:p>
    <w:p>
      <w:pPr>
        <w:spacing w:after="50"/>
        <w:jc w:val="right"/>
      </w:pPr>
      <w:r>
        <w:rPr>
          <w:rFonts w:ascii="Arial" w:cs="Arial" w:eastAsia="Arial" w:hAnsi="Arial"/>
          <w:b w:val="false"/>
          <w:bCs w:val="false"/>
          <w:i w:val="false"/>
          <w:iCs w:val="false"/>
          <w:color w:val="000000"/>
          <w:sz w:val="19"/>
          <w:szCs w:val="19"/>
        </w:rPr>
        <w:t xml:space="preserve">Grupo 2  ·  Elaborado por: Vegas Villalva</w:t>
      </w:r>
    </w:p>
    <w:p>
      <w:pPr>
        <w:spacing w:after="50"/>
        <w:jc w:val="right"/>
      </w:pPr>
      <w:r>
        <w:rPr>
          <w:rFonts w:ascii="Arial" w:cs="Arial" w:eastAsia="Arial" w:hAnsi="Arial"/>
          <w:b w:val="false"/>
          <w:bCs w:val="false"/>
          <w:i w:val="false"/>
          <w:iCs w:val="false"/>
          <w:color w:val="000000"/>
          <w:sz w:val="19"/>
          <w:szCs w:val="19"/>
        </w:rPr>
        <w:t xml:space="preserve">Código del documento: FMX-MTZ  ·  Hoja de cálculo: FMX-MTZ.xlsx</w:t>
      </w:r>
    </w:p>
    <w:p>
      <w:r>
        <w:br w:type="page"/>
      </w:r>
    </w:p>
    <w:p>
      <w:pPr>
        <w:spacing w:after="300" w:before="0"/>
        <w:jc w:val="right"/>
      </w:pPr>
      <w:r>
        <w:rPr>
          <w:rFonts w:ascii="Arial" w:cs="Arial" w:eastAsia="Arial" w:hAnsi="Arial"/>
          <w:b/>
          <w:bCs/>
          <w:i w:val="false"/>
          <w:iCs w:val="false"/>
          <w:color w:val="000000"/>
          <w:sz w:val="28"/>
          <w:szCs w:val="28"/>
        </w:rPr>
        <w:t xml:space="preserve">Historial de Revisión</w:t>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1600"/>
        <w:gridCol w:w="1300"/>
        <w:gridCol w:w="3960"/>
        <w:gridCol w:w="2160"/>
      </w:tblGrid>
      <w:tr>
        <w:trPr>
          <w:tblHeader/>
        </w:trPr>
        <w:tc>
          <w:tcPr>
            <w:tcW w:type="dxa" w:w="1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20"/>
                <w:szCs w:val="20"/>
              </w:rPr>
              <w:t xml:space="preserve">Fecha</w:t>
            </w:r>
          </w:p>
        </w:tc>
        <w:tc>
          <w:tcPr>
            <w:tcW w:type="dxa" w:w="13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20"/>
                <w:szCs w:val="20"/>
              </w:rPr>
              <w:t xml:space="preserve">Versión</w:t>
            </w:r>
          </w:p>
        </w:tc>
        <w:tc>
          <w:tcPr>
            <w:tcW w:type="dxa" w:w="396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20"/>
                <w:szCs w:val="20"/>
              </w:rPr>
              <w:t xml:space="preserve">Descripción</w:t>
            </w:r>
          </w:p>
        </w:tc>
        <w:tc>
          <w:tcPr>
            <w:tcW w:type="dxa" w:w="216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20"/>
                <w:szCs w:val="20"/>
              </w:rPr>
              <w:t xml:space="preserve">Autor</w:t>
            </w:r>
          </w:p>
        </w:tc>
      </w:tr>
      <w:tr>
        <w:trPr>
          <w:cantSplit/>
        </w:trPr>
        <w:tc>
          <w:tcPr>
            <w:tcW w:type="dxa" w:w="16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20"/>
                <w:szCs w:val="20"/>
              </w:rPr>
              <w:t xml:space="preserve">16/09/2026</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20"/>
                <w:szCs w:val="20"/>
              </w:rPr>
              <w:t xml:space="preserve">1.0</w:t>
            </w:r>
          </w:p>
        </w:tc>
        <w:tc>
          <w:tcPr>
            <w:tcW w:type="dxa" w:w="396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20"/>
                <w:szCs w:val="20"/>
              </w:rPr>
              <w:t xml:space="preserve">Consolidación inicial de la matriz de trazabilidad a partir de la documentación del sistema y de las nueve especificaciones de caso de uso.</w:t>
            </w:r>
          </w:p>
        </w:tc>
        <w:tc>
          <w:tcPr>
            <w:tcW w:type="dxa" w:w="216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20"/>
                <w:szCs w:val="20"/>
              </w:rPr>
              <w:t xml:space="preserve">Vegas Villalva</w:t>
            </w:r>
          </w:p>
        </w:tc>
      </w:tr>
      <w:tr>
        <w:trPr>
          <w:cantSplit/>
        </w:trPr>
        <w:tc>
          <w:tcPr>
            <w:tcW w:type="dxa" w:w="1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t>
            </w:r>
          </w:p>
        </w:tc>
        <w:tc>
          <w:tcPr>
            <w:tcW w:type="dxa" w:w="13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396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216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r>
      <w:tr>
        <w:trPr>
          <w:cantSplit/>
        </w:trPr>
        <w:tc>
          <w:tcPr>
            <w:tcW w:type="dxa" w:w="1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t>
            </w:r>
          </w:p>
        </w:tc>
        <w:tc>
          <w:tcPr>
            <w:tcW w:type="dxa" w:w="13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396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216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r>
      <w:tr>
        <w:trPr>
          <w:cantSplit/>
        </w:trPr>
        <w:tc>
          <w:tcPr>
            <w:tcW w:type="dxa" w:w="1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t>
            </w:r>
          </w:p>
        </w:tc>
        <w:tc>
          <w:tcPr>
            <w:tcW w:type="dxa" w:w="13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396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216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r>
      <w:tr>
        <w:trPr>
          <w:cantSplit/>
        </w:trPr>
        <w:tc>
          <w:tcPr>
            <w:tcW w:type="dxa" w:w="1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t>
            </w:r>
          </w:p>
        </w:tc>
        <w:tc>
          <w:tcPr>
            <w:tcW w:type="dxa" w:w="13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396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216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r>
    </w:tbl>
    <w:p>
      <w:r>
        <w:br w:type="page"/>
      </w:r>
    </w:p>
    <w:p>
      <w:pPr>
        <w:spacing w:after="300" w:before="0"/>
        <w:jc w:val="right"/>
      </w:pPr>
      <w:r>
        <w:rPr>
          <w:rFonts w:ascii="Arial" w:cs="Arial" w:eastAsia="Arial" w:hAnsi="Arial"/>
          <w:b/>
          <w:bCs/>
          <w:i w:val="false"/>
          <w:iCs w:val="false"/>
          <w:color w:val="000000"/>
          <w:sz w:val="28"/>
          <w:szCs w:val="28"/>
        </w:rPr>
        <w:t xml:space="preserve">Tabla de Contenido</w:t>
      </w:r>
    </w:p>
    <w:p>
      <w:pPr>
        <w:tabs>
          <w:tab w:val="left" w:pos="560"/>
        </w:tabs>
        <w:spacing w:after="110"/>
        <w:ind w:left="0"/>
      </w:pPr>
      <w:r>
        <w:rPr>
          <w:rFonts w:ascii="Arial" w:cs="Arial" w:eastAsia="Arial" w:hAnsi="Arial"/>
          <w:b/>
          <w:bCs/>
          <w:i w:val="false"/>
          <w:iCs w:val="false"/>
          <w:color w:val="000000"/>
          <w:sz w:val="20"/>
          <w:szCs w:val="20"/>
        </w:rPr>
        <w:t xml:space="preserve">1.	</w:t>
      </w:r>
      <w:r>
        <w:rPr>
          <w:rFonts w:ascii="Arial" w:cs="Arial" w:eastAsia="Arial" w:hAnsi="Arial"/>
          <w:b/>
          <w:bCs/>
          <w:i w:val="false"/>
          <w:iCs w:val="false"/>
          <w:color w:val="000000"/>
          <w:sz w:val="20"/>
          <w:szCs w:val="20"/>
        </w:rPr>
        <w:t xml:space="preserve">Introducción</w:t>
      </w:r>
    </w:p>
    <w:p>
      <w:pPr>
        <w:tabs>
          <w:tab w:val="left" w:pos="940"/>
        </w:tabs>
        <w:spacing w:after="70"/>
        <w:ind w:left="380"/>
      </w:pPr>
      <w:r>
        <w:rPr>
          <w:rFonts w:ascii="Arial" w:cs="Arial" w:eastAsia="Arial" w:hAnsi="Arial"/>
          <w:b w:val="false"/>
          <w:bCs w:val="false"/>
          <w:i/>
          <w:iCs/>
          <w:color w:val="000000"/>
          <w:sz w:val="19"/>
          <w:szCs w:val="19"/>
        </w:rPr>
        <w:t xml:space="preserve">1.1	</w:t>
      </w:r>
      <w:r>
        <w:rPr>
          <w:rFonts w:ascii="Arial" w:cs="Arial" w:eastAsia="Arial" w:hAnsi="Arial"/>
          <w:b w:val="false"/>
          <w:bCs w:val="false"/>
          <w:i/>
          <w:iCs/>
          <w:color w:val="000000"/>
          <w:sz w:val="19"/>
          <w:szCs w:val="19"/>
        </w:rPr>
        <w:t xml:space="preserve">Propósito</w:t>
      </w:r>
    </w:p>
    <w:p>
      <w:pPr>
        <w:tabs>
          <w:tab w:val="left" w:pos="940"/>
        </w:tabs>
        <w:spacing w:after="70"/>
        <w:ind w:left="380"/>
      </w:pPr>
      <w:r>
        <w:rPr>
          <w:rFonts w:ascii="Arial" w:cs="Arial" w:eastAsia="Arial" w:hAnsi="Arial"/>
          <w:b w:val="false"/>
          <w:bCs w:val="false"/>
          <w:i/>
          <w:iCs/>
          <w:color w:val="000000"/>
          <w:sz w:val="19"/>
          <w:szCs w:val="19"/>
        </w:rPr>
        <w:t xml:space="preserve">1.2	</w:t>
      </w:r>
      <w:r>
        <w:rPr>
          <w:rFonts w:ascii="Arial" w:cs="Arial" w:eastAsia="Arial" w:hAnsi="Arial"/>
          <w:b w:val="false"/>
          <w:bCs w:val="false"/>
          <w:i/>
          <w:iCs/>
          <w:color w:val="000000"/>
          <w:sz w:val="19"/>
          <w:szCs w:val="19"/>
        </w:rPr>
        <w:t xml:space="preserve">Alcance</w:t>
      </w:r>
    </w:p>
    <w:p>
      <w:pPr>
        <w:tabs>
          <w:tab w:val="left" w:pos="940"/>
        </w:tabs>
        <w:spacing w:after="70"/>
        <w:ind w:left="380"/>
      </w:pPr>
      <w:r>
        <w:rPr>
          <w:rFonts w:ascii="Arial" w:cs="Arial" w:eastAsia="Arial" w:hAnsi="Arial"/>
          <w:b w:val="false"/>
          <w:bCs w:val="false"/>
          <w:i/>
          <w:iCs/>
          <w:color w:val="000000"/>
          <w:sz w:val="19"/>
          <w:szCs w:val="19"/>
        </w:rPr>
        <w:t xml:space="preserve">1.3	</w:t>
      </w:r>
      <w:r>
        <w:rPr>
          <w:rFonts w:ascii="Arial" w:cs="Arial" w:eastAsia="Arial" w:hAnsi="Arial"/>
          <w:b w:val="false"/>
          <w:bCs w:val="false"/>
          <w:i/>
          <w:iCs/>
          <w:color w:val="000000"/>
          <w:sz w:val="19"/>
          <w:szCs w:val="19"/>
        </w:rPr>
        <w:t xml:space="preserve">Definiciones y notación</w:t>
      </w:r>
    </w:p>
    <w:p>
      <w:pPr>
        <w:tabs>
          <w:tab w:val="left" w:pos="940"/>
        </w:tabs>
        <w:spacing w:after="70"/>
        <w:ind w:left="380"/>
      </w:pPr>
      <w:r>
        <w:rPr>
          <w:rFonts w:ascii="Arial" w:cs="Arial" w:eastAsia="Arial" w:hAnsi="Arial"/>
          <w:b w:val="false"/>
          <w:bCs w:val="false"/>
          <w:i/>
          <w:iCs/>
          <w:color w:val="000000"/>
          <w:sz w:val="19"/>
          <w:szCs w:val="19"/>
        </w:rPr>
        <w:t xml:space="preserve">1.4	</w:t>
      </w:r>
      <w:r>
        <w:rPr>
          <w:rFonts w:ascii="Arial" w:cs="Arial" w:eastAsia="Arial" w:hAnsi="Arial"/>
          <w:b w:val="false"/>
          <w:bCs w:val="false"/>
          <w:i/>
          <w:iCs/>
          <w:color w:val="000000"/>
          <w:sz w:val="19"/>
          <w:szCs w:val="19"/>
        </w:rPr>
        <w:t xml:space="preserve">Referencias</w:t>
      </w:r>
    </w:p>
    <w:p>
      <w:pPr>
        <w:tabs>
          <w:tab w:val="left" w:pos="560"/>
        </w:tabs>
        <w:spacing w:after="110"/>
        <w:ind w:left="0"/>
      </w:pPr>
      <w:r>
        <w:rPr>
          <w:rFonts w:ascii="Arial" w:cs="Arial" w:eastAsia="Arial" w:hAnsi="Arial"/>
          <w:b/>
          <w:bCs/>
          <w:i w:val="false"/>
          <w:iCs w:val="false"/>
          <w:color w:val="000000"/>
          <w:sz w:val="20"/>
          <w:szCs w:val="20"/>
        </w:rPr>
        <w:t xml:space="preserve">2.	</w:t>
      </w:r>
      <w:r>
        <w:rPr>
          <w:rFonts w:ascii="Arial" w:cs="Arial" w:eastAsia="Arial" w:hAnsi="Arial"/>
          <w:b/>
          <w:bCs/>
          <w:i w:val="false"/>
          <w:iCs w:val="false"/>
          <w:color w:val="000000"/>
          <w:sz w:val="20"/>
          <w:szCs w:val="20"/>
        </w:rPr>
        <w:t xml:space="preserve">Método de consolidación</w:t>
      </w:r>
    </w:p>
    <w:p>
      <w:pPr>
        <w:tabs>
          <w:tab w:val="left" w:pos="940"/>
        </w:tabs>
        <w:spacing w:after="70"/>
        <w:ind w:left="380"/>
      </w:pPr>
      <w:r>
        <w:rPr>
          <w:rFonts w:ascii="Arial" w:cs="Arial" w:eastAsia="Arial" w:hAnsi="Arial"/>
          <w:b w:val="false"/>
          <w:bCs w:val="false"/>
          <w:i/>
          <w:iCs/>
          <w:color w:val="000000"/>
          <w:sz w:val="19"/>
          <w:szCs w:val="19"/>
        </w:rPr>
        <w:t xml:space="preserve">2.1	</w:t>
      </w:r>
      <w:r>
        <w:rPr>
          <w:rFonts w:ascii="Arial" w:cs="Arial" w:eastAsia="Arial" w:hAnsi="Arial"/>
          <w:b w:val="false"/>
          <w:bCs w:val="false"/>
          <w:i/>
          <w:iCs/>
          <w:color w:val="000000"/>
          <w:sz w:val="19"/>
          <w:szCs w:val="19"/>
        </w:rPr>
        <w:t xml:space="preserve">Fuentes utilizadas</w:t>
      </w:r>
    </w:p>
    <w:p>
      <w:pPr>
        <w:tabs>
          <w:tab w:val="left" w:pos="940"/>
        </w:tabs>
        <w:spacing w:after="70"/>
        <w:ind w:left="380"/>
      </w:pPr>
      <w:r>
        <w:rPr>
          <w:rFonts w:ascii="Arial" w:cs="Arial" w:eastAsia="Arial" w:hAnsi="Arial"/>
          <w:b w:val="false"/>
          <w:bCs w:val="false"/>
          <w:i/>
          <w:iCs/>
          <w:color w:val="000000"/>
          <w:sz w:val="19"/>
          <w:szCs w:val="19"/>
        </w:rPr>
        <w:t xml:space="preserve">2.2	</w:t>
      </w:r>
      <w:r>
        <w:rPr>
          <w:rFonts w:ascii="Arial" w:cs="Arial" w:eastAsia="Arial" w:hAnsi="Arial"/>
          <w:b w:val="false"/>
          <w:bCs w:val="false"/>
          <w:i/>
          <w:iCs/>
          <w:color w:val="000000"/>
          <w:sz w:val="19"/>
          <w:szCs w:val="19"/>
        </w:rPr>
        <w:t xml:space="preserve">Criterios de relación</w:t>
      </w:r>
    </w:p>
    <w:p>
      <w:pPr>
        <w:tabs>
          <w:tab w:val="left" w:pos="940"/>
        </w:tabs>
        <w:spacing w:after="70"/>
        <w:ind w:left="380"/>
      </w:pPr>
      <w:r>
        <w:rPr>
          <w:rFonts w:ascii="Arial" w:cs="Arial" w:eastAsia="Arial" w:hAnsi="Arial"/>
          <w:b w:val="false"/>
          <w:bCs w:val="false"/>
          <w:i/>
          <w:iCs/>
          <w:color w:val="000000"/>
          <w:sz w:val="19"/>
          <w:szCs w:val="19"/>
        </w:rPr>
        <w:t xml:space="preserve">2.3	</w:t>
      </w:r>
      <w:r>
        <w:rPr>
          <w:rFonts w:ascii="Arial" w:cs="Arial" w:eastAsia="Arial" w:hAnsi="Arial"/>
          <w:b w:val="false"/>
          <w:bCs w:val="false"/>
          <w:i/>
          <w:iCs/>
          <w:color w:val="000000"/>
          <w:sz w:val="19"/>
          <w:szCs w:val="19"/>
        </w:rPr>
        <w:t xml:space="preserve">Procedimiento seguido</w:t>
      </w:r>
    </w:p>
    <w:p>
      <w:pPr>
        <w:tabs>
          <w:tab w:val="left" w:pos="560"/>
        </w:tabs>
        <w:spacing w:after="110"/>
        <w:ind w:left="0"/>
      </w:pPr>
      <w:r>
        <w:rPr>
          <w:rFonts w:ascii="Arial" w:cs="Arial" w:eastAsia="Arial" w:hAnsi="Arial"/>
          <w:b/>
          <w:bCs/>
          <w:i w:val="false"/>
          <w:iCs w:val="false"/>
          <w:color w:val="000000"/>
          <w:sz w:val="20"/>
          <w:szCs w:val="20"/>
        </w:rPr>
        <w:t xml:space="preserve">3.	</w:t>
      </w:r>
      <w:r>
        <w:rPr>
          <w:rFonts w:ascii="Arial" w:cs="Arial" w:eastAsia="Arial" w:hAnsi="Arial"/>
          <w:b/>
          <w:bCs/>
          <w:i w:val="false"/>
          <w:iCs w:val="false"/>
          <w:color w:val="000000"/>
          <w:sz w:val="20"/>
          <w:szCs w:val="20"/>
        </w:rPr>
        <w:t xml:space="preserve">Matriz de trazabilidad RF ↔ CUS</w:t>
      </w:r>
    </w:p>
    <w:p>
      <w:pPr>
        <w:tabs>
          <w:tab w:val="left" w:pos="560"/>
        </w:tabs>
        <w:spacing w:after="110"/>
        <w:ind w:left="0"/>
      </w:pPr>
      <w:r>
        <w:rPr>
          <w:rFonts w:ascii="Arial" w:cs="Arial" w:eastAsia="Arial" w:hAnsi="Arial"/>
          <w:b/>
          <w:bCs/>
          <w:i w:val="false"/>
          <w:iCs w:val="false"/>
          <w:color w:val="000000"/>
          <w:sz w:val="20"/>
          <w:szCs w:val="20"/>
        </w:rPr>
        <w:t xml:space="preserve">4.	</w:t>
      </w:r>
      <w:r>
        <w:rPr>
          <w:rFonts w:ascii="Arial" w:cs="Arial" w:eastAsia="Arial" w:hAnsi="Arial"/>
          <w:b/>
          <w:bCs/>
          <w:i w:val="false"/>
          <w:iCs w:val="false"/>
          <w:color w:val="000000"/>
          <w:sz w:val="20"/>
          <w:szCs w:val="20"/>
        </w:rPr>
        <w:t xml:space="preserve">Matriz de trazabilidad RNF ↔ CUS</w:t>
      </w:r>
    </w:p>
    <w:p>
      <w:pPr>
        <w:tabs>
          <w:tab w:val="left" w:pos="560"/>
        </w:tabs>
        <w:spacing w:after="110"/>
        <w:ind w:left="0"/>
      </w:pPr>
      <w:r>
        <w:rPr>
          <w:rFonts w:ascii="Arial" w:cs="Arial" w:eastAsia="Arial" w:hAnsi="Arial"/>
          <w:b/>
          <w:bCs/>
          <w:i w:val="false"/>
          <w:iCs w:val="false"/>
          <w:color w:val="000000"/>
          <w:sz w:val="20"/>
          <w:szCs w:val="20"/>
        </w:rPr>
        <w:t xml:space="preserve">5.	</w:t>
      </w:r>
      <w:r>
        <w:rPr>
          <w:rFonts w:ascii="Arial" w:cs="Arial" w:eastAsia="Arial" w:hAnsi="Arial"/>
          <w:b/>
          <w:bCs/>
          <w:i w:val="false"/>
          <w:iCs w:val="false"/>
          <w:color w:val="000000"/>
          <w:sz w:val="20"/>
          <w:szCs w:val="20"/>
        </w:rPr>
        <w:t xml:space="preserve">Trazabilidad con los procesos de negocio</w:t>
      </w:r>
    </w:p>
    <w:p>
      <w:pPr>
        <w:tabs>
          <w:tab w:val="left" w:pos="560"/>
        </w:tabs>
        <w:spacing w:after="110"/>
        <w:ind w:left="0"/>
      </w:pPr>
      <w:r>
        <w:rPr>
          <w:rFonts w:ascii="Arial" w:cs="Arial" w:eastAsia="Arial" w:hAnsi="Arial"/>
          <w:b/>
          <w:bCs/>
          <w:i w:val="false"/>
          <w:iCs w:val="false"/>
          <w:color w:val="000000"/>
          <w:sz w:val="20"/>
          <w:szCs w:val="20"/>
        </w:rPr>
        <w:t xml:space="preserve">6.	</w:t>
      </w:r>
      <w:r>
        <w:rPr>
          <w:rFonts w:ascii="Arial" w:cs="Arial" w:eastAsia="Arial" w:hAnsi="Arial"/>
          <w:b/>
          <w:bCs/>
          <w:i w:val="false"/>
          <w:iCs w:val="false"/>
          <w:color w:val="000000"/>
          <w:sz w:val="20"/>
          <w:szCs w:val="20"/>
        </w:rPr>
        <w:t xml:space="preserve">Trazabilidad de entrega y de verificación</w:t>
      </w:r>
    </w:p>
    <w:p>
      <w:pPr>
        <w:tabs>
          <w:tab w:val="left" w:pos="940"/>
        </w:tabs>
        <w:spacing w:after="70"/>
        <w:ind w:left="380"/>
      </w:pPr>
      <w:r>
        <w:rPr>
          <w:rFonts w:ascii="Arial" w:cs="Arial" w:eastAsia="Arial" w:hAnsi="Arial"/>
          <w:b w:val="false"/>
          <w:bCs w:val="false"/>
          <w:i/>
          <w:iCs/>
          <w:color w:val="000000"/>
          <w:sz w:val="19"/>
          <w:szCs w:val="19"/>
        </w:rPr>
        <w:t xml:space="preserve">6.1	</w:t>
      </w:r>
      <w:r>
        <w:rPr>
          <w:rFonts w:ascii="Arial" w:cs="Arial" w:eastAsia="Arial" w:hAnsi="Arial"/>
          <w:b w:val="false"/>
          <w:bCs w:val="false"/>
          <w:i/>
          <w:iCs/>
          <w:color w:val="000000"/>
          <w:sz w:val="19"/>
          <w:szCs w:val="19"/>
        </w:rPr>
        <w:t xml:space="preserve">Caso de uso ↔ responsable y documento</w:t>
      </w:r>
    </w:p>
    <w:p>
      <w:pPr>
        <w:tabs>
          <w:tab w:val="left" w:pos="940"/>
        </w:tabs>
        <w:spacing w:after="70"/>
        <w:ind w:left="380"/>
      </w:pPr>
      <w:r>
        <w:rPr>
          <w:rFonts w:ascii="Arial" w:cs="Arial" w:eastAsia="Arial" w:hAnsi="Arial"/>
          <w:b w:val="false"/>
          <w:bCs w:val="false"/>
          <w:i/>
          <w:iCs/>
          <w:color w:val="000000"/>
          <w:sz w:val="19"/>
          <w:szCs w:val="19"/>
        </w:rPr>
        <w:t xml:space="preserve">6.2	</w:t>
      </w:r>
      <w:r>
        <w:rPr>
          <w:rFonts w:ascii="Arial" w:cs="Arial" w:eastAsia="Arial" w:hAnsi="Arial"/>
          <w:b w:val="false"/>
          <w:bCs w:val="false"/>
          <w:i/>
          <w:iCs/>
          <w:color w:val="000000"/>
          <w:sz w:val="19"/>
          <w:szCs w:val="19"/>
        </w:rPr>
        <w:t xml:space="preserve">Caso de uso ↔ casos de prueba</w:t>
      </w:r>
    </w:p>
    <w:p>
      <w:pPr>
        <w:tabs>
          <w:tab w:val="left" w:pos="560"/>
        </w:tabs>
        <w:spacing w:after="110"/>
        <w:ind w:left="0"/>
      </w:pPr>
      <w:r>
        <w:rPr>
          <w:rFonts w:ascii="Arial" w:cs="Arial" w:eastAsia="Arial" w:hAnsi="Arial"/>
          <w:b/>
          <w:bCs/>
          <w:i w:val="false"/>
          <w:iCs w:val="false"/>
          <w:color w:val="000000"/>
          <w:sz w:val="20"/>
          <w:szCs w:val="20"/>
        </w:rPr>
        <w:t xml:space="preserve">7.	</w:t>
      </w:r>
      <w:r>
        <w:rPr>
          <w:rFonts w:ascii="Arial" w:cs="Arial" w:eastAsia="Arial" w:hAnsi="Arial"/>
          <w:b/>
          <w:bCs/>
          <w:i w:val="false"/>
          <w:iCs w:val="false"/>
          <w:color w:val="000000"/>
          <w:sz w:val="20"/>
          <w:szCs w:val="20"/>
        </w:rPr>
        <w:t xml:space="preserve">Análisis de cobertura</w:t>
      </w:r>
    </w:p>
    <w:p>
      <w:pPr>
        <w:tabs>
          <w:tab w:val="left" w:pos="940"/>
        </w:tabs>
        <w:spacing w:after="70"/>
        <w:ind w:left="380"/>
      </w:pPr>
      <w:r>
        <w:rPr>
          <w:rFonts w:ascii="Arial" w:cs="Arial" w:eastAsia="Arial" w:hAnsi="Arial"/>
          <w:b w:val="false"/>
          <w:bCs w:val="false"/>
          <w:i/>
          <w:iCs/>
          <w:color w:val="000000"/>
          <w:sz w:val="19"/>
          <w:szCs w:val="19"/>
        </w:rPr>
        <w:t xml:space="preserve">7.1	</w:t>
      </w:r>
      <w:r>
        <w:rPr>
          <w:rFonts w:ascii="Arial" w:cs="Arial" w:eastAsia="Arial" w:hAnsi="Arial"/>
          <w:b w:val="false"/>
          <w:bCs w:val="false"/>
          <w:i/>
          <w:iCs/>
          <w:color w:val="000000"/>
          <w:sz w:val="19"/>
          <w:szCs w:val="19"/>
        </w:rPr>
        <w:t xml:space="preserve">Indicadores</w:t>
      </w:r>
    </w:p>
    <w:p>
      <w:pPr>
        <w:tabs>
          <w:tab w:val="left" w:pos="940"/>
        </w:tabs>
        <w:spacing w:after="70"/>
        <w:ind w:left="380"/>
      </w:pPr>
      <w:r>
        <w:rPr>
          <w:rFonts w:ascii="Arial" w:cs="Arial" w:eastAsia="Arial" w:hAnsi="Arial"/>
          <w:b w:val="false"/>
          <w:bCs w:val="false"/>
          <w:i/>
          <w:iCs/>
          <w:color w:val="000000"/>
          <w:sz w:val="19"/>
          <w:szCs w:val="19"/>
        </w:rPr>
        <w:t xml:space="preserve">7.2	</w:t>
      </w:r>
      <w:r>
        <w:rPr>
          <w:rFonts w:ascii="Arial" w:cs="Arial" w:eastAsia="Arial" w:hAnsi="Arial"/>
          <w:b w:val="false"/>
          <w:bCs w:val="false"/>
          <w:i/>
          <w:iCs/>
          <w:color w:val="000000"/>
          <w:sz w:val="19"/>
          <w:szCs w:val="19"/>
        </w:rPr>
        <w:t xml:space="preserve">Hallazgos</w:t>
      </w:r>
    </w:p>
    <w:p>
      <w:pPr>
        <w:tabs>
          <w:tab w:val="left" w:pos="560"/>
        </w:tabs>
        <w:spacing w:after="110"/>
        <w:ind w:left="0"/>
      </w:pPr>
      <w:r>
        <w:rPr>
          <w:rFonts w:ascii="Arial" w:cs="Arial" w:eastAsia="Arial" w:hAnsi="Arial"/>
          <w:b/>
          <w:bCs/>
          <w:i w:val="false"/>
          <w:iCs w:val="false"/>
          <w:color w:val="000000"/>
          <w:sz w:val="20"/>
          <w:szCs w:val="20"/>
        </w:rPr>
        <w:t xml:space="preserve">8.	</w:t>
      </w:r>
      <w:r>
        <w:rPr>
          <w:rFonts w:ascii="Arial" w:cs="Arial" w:eastAsia="Arial" w:hAnsi="Arial"/>
          <w:b/>
          <w:bCs/>
          <w:i w:val="false"/>
          <w:iCs w:val="false"/>
          <w:color w:val="000000"/>
          <w:sz w:val="20"/>
          <w:szCs w:val="20"/>
        </w:rPr>
        <w:t xml:space="preserve">Mantenimiento de la matriz</w:t>
      </w:r>
    </w:p>
    <w:p>
      <w:pPr>
        <w:tabs>
          <w:tab w:val="left" w:pos="560"/>
        </w:tabs>
        <w:spacing w:after="110"/>
        <w:ind w:left="0"/>
      </w:pPr>
      <w:r>
        <w:rPr>
          <w:rFonts w:ascii="Arial" w:cs="Arial" w:eastAsia="Arial" w:hAnsi="Arial"/>
          <w:b/>
          <w:bCs/>
          <w:i w:val="false"/>
          <w:iCs w:val="false"/>
          <w:color w:val="000000"/>
          <w:sz w:val="20"/>
          <w:szCs w:val="20"/>
        </w:rPr>
        <w:t xml:space="preserve">9.	</w:t>
      </w:r>
      <w:r>
        <w:rPr>
          <w:rFonts w:ascii="Arial" w:cs="Arial" w:eastAsia="Arial" w:hAnsi="Arial"/>
          <w:b/>
          <w:bCs/>
          <w:i w:val="false"/>
          <w:iCs w:val="false"/>
          <w:color w:val="000000"/>
          <w:sz w:val="20"/>
          <w:szCs w:val="20"/>
        </w:rPr>
        <w:t xml:space="preserve">Aprobación</w:t>
      </w:r>
    </w:p>
    <w:p>
      <w:r>
        <w:br w:type="page"/>
      </w:r>
    </w:p>
    <w:p>
      <w:pPr>
        <w:spacing w:after="420" w:before="0"/>
        <w:jc w:val="right"/>
      </w:pPr>
      <w:r>
        <w:rPr>
          <w:rFonts w:ascii="Arial" w:cs="Arial" w:eastAsia="Arial" w:hAnsi="Arial"/>
          <w:b/>
          <w:bCs/>
          <w:i w:val="false"/>
          <w:iCs w:val="false"/>
          <w:color w:val="000000"/>
          <w:sz w:val="30"/>
          <w:szCs w:val="30"/>
        </w:rPr>
        <w:t xml:space="preserve">Matriz de Trazabilidad</w:t>
      </w:r>
    </w:p>
    <w:p>
      <w:pPr>
        <w:pStyle w:val="Heading1"/>
        <w:tabs>
          <w:tab w:val="left" w:pos="640"/>
        </w:tabs>
        <w:spacing w:after="150" w:before="320"/>
      </w:pPr>
      <w:r>
        <w:rPr>
          <w:rFonts w:ascii="Arial" w:cs="Arial" w:eastAsia="Arial" w:hAnsi="Arial"/>
          <w:b/>
          <w:bCs/>
          <w:i w:val="false"/>
          <w:iCs w:val="false"/>
          <w:color w:val="000000"/>
          <w:sz w:val="26"/>
          <w:szCs w:val="26"/>
        </w:rPr>
        <w:t xml:space="preserve">1.	</w:t>
      </w:r>
      <w:r>
        <w:rPr>
          <w:rFonts w:ascii="Arial" w:cs="Arial" w:eastAsia="Arial" w:hAnsi="Arial"/>
          <w:b/>
          <w:bCs/>
          <w:i w:val="false"/>
          <w:iCs w:val="false"/>
          <w:color w:val="000000"/>
          <w:sz w:val="26"/>
          <w:szCs w:val="26"/>
        </w:rPr>
        <w:t xml:space="preserve">Introducción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1.1	</w:t>
      </w:r>
      <w:r>
        <w:rPr>
          <w:rFonts w:ascii="Arial" w:cs="Arial" w:eastAsia="Arial" w:hAnsi="Arial"/>
          <w:b/>
          <w:bCs/>
          <w:i w:val="false"/>
          <w:iCs w:val="false"/>
          <w:color w:val="000000"/>
          <w:sz w:val="22"/>
          <w:szCs w:val="22"/>
        </w:rPr>
        <w:t xml:space="preserve">Propósito</w:t>
      </w:r>
    </w:p>
    <w:p>
      <w:pPr>
        <w:spacing w:after="120" w:before="0" w:line="268"/>
        <w:ind w:left="740"/>
        <w:jc w:val="both"/>
      </w:pPr>
      <w:r>
        <w:rPr>
          <w:rFonts w:ascii="Arial" w:cs="Arial" w:eastAsia="Arial" w:hAnsi="Arial"/>
          <w:b w:val="false"/>
          <w:bCs w:val="false"/>
          <w:i w:val="false"/>
          <w:iCs w:val="false"/>
          <w:color w:val="000000"/>
          <w:sz w:val="20"/>
          <w:szCs w:val="20"/>
        </w:rPr>
        <w:t xml:space="preserve">Este documento consolida la trazabilidad del proyecto FERREMAX: relaciona cada requisito del sistema con el caso de uso que lo realiza, con el proceso de negocio que le dio origen, con el integrante que lo construye y con los casos de prueba que lo verifican. Acompaña a la hoja de cálculo FMX-MTZ.xlsx, donde reside la matriz operativa.</w:t>
      </w:r>
    </w:p>
    <w:p>
      <w:pPr>
        <w:spacing w:after="120" w:before="0" w:line="268"/>
        <w:ind w:left="740"/>
        <w:jc w:val="both"/>
      </w:pPr>
      <w:r>
        <w:rPr>
          <w:rFonts w:ascii="Arial" w:cs="Arial" w:eastAsia="Arial" w:hAnsi="Arial"/>
          <w:b w:val="false"/>
          <w:bCs w:val="false"/>
          <w:i w:val="false"/>
          <w:iCs w:val="false"/>
          <w:color w:val="000000"/>
          <w:sz w:val="20"/>
          <w:szCs w:val="20"/>
        </w:rPr>
        <w:t xml:space="preserve">La trazabilidad responde a tres preguntas que, sin ella, solo pueden contestarse revisando documento por documento:</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¿Se está construyendo todo lo que se pidió? Es la cobertura hacia adelante: ningún requisito debe quedar sin un caso de uso que lo implemente.</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¿Se está construyendo solo lo que se pidió? Es la cobertura hacia atrás: ningún caso de uso debe existir sin un requisito que lo justifique.</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Si cambia un requisito, ¿qué hay que rehacer? Es el análisis de impacto: la matriz indica de inmediato qué casos de uso, qué documentos, qué ramas de código y qué casos de prueba quedan afectados.</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1.2	</w:t>
      </w:r>
      <w:r>
        <w:rPr>
          <w:rFonts w:ascii="Arial" w:cs="Arial" w:eastAsia="Arial" w:hAnsi="Arial"/>
          <w:b/>
          <w:bCs/>
          <w:i w:val="false"/>
          <w:iCs w:val="false"/>
          <w:color w:val="000000"/>
          <w:sz w:val="22"/>
          <w:szCs w:val="22"/>
        </w:rPr>
        <w:t xml:space="preserve">Alcance</w:t>
      </w:r>
    </w:p>
    <w:p>
      <w:pPr>
        <w:spacing w:after="120" w:before="0" w:line="268"/>
        <w:ind w:left="740"/>
        <w:jc w:val="both"/>
      </w:pPr>
      <w:r>
        <w:rPr>
          <w:rFonts w:ascii="Arial" w:cs="Arial" w:eastAsia="Arial" w:hAnsi="Arial"/>
          <w:b w:val="false"/>
          <w:bCs w:val="false"/>
          <w:i w:val="false"/>
          <w:iCs w:val="false"/>
          <w:color w:val="000000"/>
          <w:sz w:val="20"/>
          <w:szCs w:val="20"/>
        </w:rPr>
        <w:t xml:space="preserve">La matriz cubre los 29 requisitos funcionales y los 19 requisitos no funcionales declarados en la documentación del sistema, los 9 casos de uso especificados en los documentos FMX-C01 a FMX-C09, los 3 procesos de negocio levantados en el Documento de Negocio y los 29 casos de prueba previstos para el Hito 3.</w:t>
      </w:r>
    </w:p>
    <w:p>
      <w:pPr>
        <w:spacing w:after="120" w:before="0" w:line="268"/>
        <w:ind w:left="740"/>
        <w:jc w:val="both"/>
      </w:pPr>
      <w:r>
        <w:rPr>
          <w:rFonts w:ascii="Arial" w:cs="Arial" w:eastAsia="Arial" w:hAnsi="Arial"/>
          <w:b w:val="false"/>
          <w:bCs w:val="false"/>
          <w:i w:val="false"/>
          <w:iCs w:val="false"/>
          <w:color w:val="000000"/>
          <w:sz w:val="20"/>
          <w:szCs w:val="20"/>
        </w:rPr>
        <w:t xml:space="preserve">Queda fuera del alcance la trazabilidad hacia el código fuente a nivel de clase o de método. Esa correspondencia se documenta en el Documento de Arquitectura del Software, en la sección de clases de diseño de cada subsistema.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1.3	</w:t>
      </w:r>
      <w:r>
        <w:rPr>
          <w:rFonts w:ascii="Arial" w:cs="Arial" w:eastAsia="Arial" w:hAnsi="Arial"/>
          <w:b/>
          <w:bCs/>
          <w:i w:val="false"/>
          <w:iCs w:val="false"/>
          <w:color w:val="000000"/>
          <w:sz w:val="22"/>
          <w:szCs w:val="22"/>
        </w:rPr>
        <w:t xml:space="preserve">Definiciones y notación</w:t>
      </w:r>
    </w:p>
    <w:p>
      <w:pPr>
        <w:spacing w:after="60"/>
      </w:pPr>
      <w:r>
        <w:rPr>
          <w:rFonts w:ascii="Arial" w:cs="Arial" w:eastAsia="Arial" w:hAnsi="Arial"/>
          <w:b w:val="false"/>
          <w:bCs w:val="false"/>
          <w:i w:val="false"/>
          <w:iCs w:val="false"/>
          <w:color w:val="000000"/>
          <w:sz w:val="20"/>
          <w:szCs w:val="20"/>
        </w:rPr>
        <w:t xml:space="preserve"/>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1900"/>
        <w:gridCol w:w="7120"/>
      </w:tblGrid>
      <w:tr>
        <w:trPr>
          <w:tblHeader/>
        </w:trPr>
        <w:tc>
          <w:tcPr>
            <w:tcW w:type="dxa" w:w="19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20"/>
                <w:szCs w:val="20"/>
              </w:rPr>
              <w:t xml:space="preserve">Término</w:t>
            </w:r>
          </w:p>
        </w:tc>
        <w:tc>
          <w:tcPr>
            <w:tcW w:type="dxa" w:w="712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20"/>
                <w:szCs w:val="20"/>
              </w:rPr>
              <w:t xml:space="preserve">Definición</w:t>
            </w:r>
          </w:p>
        </w:tc>
      </w:tr>
      <w:tr>
        <w:trPr>
          <w:cantSplit/>
        </w:trPr>
        <w:tc>
          <w:tcPr>
            <w:tcW w:type="dxa" w:w="1900"/>
            <w:tcMar>
              <w:top w:type="dxa" w:w="40"/>
              <w:left w:type="dxa" w:w="70"/>
              <w:bottom w:type="dxa" w:w="40"/>
              <w:right w:type="dxa" w:w="70"/>
            </w:tcMar>
            <w:vAlign w:val="top"/>
          </w:tcPr>
          <w:p>
            <w:pPr>
              <w:spacing w:after="0" w:before="0" w:line="268"/>
              <w:jc w:val="left"/>
            </w:pPr>
            <w:r>
              <w:rPr>
                <w:rFonts w:ascii="Arial" w:cs="Arial" w:eastAsia="Arial" w:hAnsi="Arial"/>
                <w:b/>
                <w:bCs/>
                <w:i w:val="false"/>
                <w:iCs w:val="false"/>
                <w:color w:val="000000"/>
                <w:sz w:val="19"/>
                <w:szCs w:val="19"/>
              </w:rPr>
              <w:t xml:space="preserve">Trazabilidad</w:t>
            </w:r>
          </w:p>
        </w:tc>
        <w:tc>
          <w:tcPr>
            <w:tcW w:type="dxa" w:w="71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Capacidad de seguir la vida de un requisito hacia adelante y hacia atrás a lo largo de los artefactos del proyecto.</w:t>
            </w:r>
          </w:p>
        </w:tc>
      </w:tr>
      <w:tr>
        <w:trPr>
          <w:cantSplit/>
        </w:trPr>
        <w:tc>
          <w:tcPr>
            <w:tcW w:type="dxa" w:w="1900"/>
            <w:tcMar>
              <w:top w:type="dxa" w:w="40"/>
              <w:left w:type="dxa" w:w="70"/>
              <w:bottom w:type="dxa" w:w="40"/>
              <w:right w:type="dxa" w:w="70"/>
            </w:tcMar>
            <w:vAlign w:val="top"/>
          </w:tcPr>
          <w:p>
            <w:pPr>
              <w:spacing w:after="0" w:before="0" w:line="268"/>
              <w:jc w:val="left"/>
            </w:pPr>
            <w:r>
              <w:rPr>
                <w:rFonts w:ascii="Arial" w:cs="Arial" w:eastAsia="Arial" w:hAnsi="Arial"/>
                <w:b/>
                <w:bCs/>
                <w:i w:val="false"/>
                <w:iCs w:val="false"/>
                <w:color w:val="000000"/>
                <w:sz w:val="19"/>
                <w:szCs w:val="19"/>
              </w:rPr>
              <w:t xml:space="preserve">RF</w:t>
            </w:r>
          </w:p>
        </w:tc>
        <w:tc>
          <w:tcPr>
            <w:tcW w:type="dxa" w:w="71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Requisito funcional. Describe una tarea concreta que el sistema debe realizar.</w:t>
            </w:r>
          </w:p>
        </w:tc>
      </w:tr>
      <w:tr>
        <w:trPr>
          <w:cantSplit/>
        </w:trPr>
        <w:tc>
          <w:tcPr>
            <w:tcW w:type="dxa" w:w="1900"/>
            <w:tcMar>
              <w:top w:type="dxa" w:w="40"/>
              <w:left w:type="dxa" w:w="70"/>
              <w:bottom w:type="dxa" w:w="40"/>
              <w:right w:type="dxa" w:w="70"/>
            </w:tcMar>
            <w:vAlign w:val="top"/>
          </w:tcPr>
          <w:p>
            <w:pPr>
              <w:spacing w:after="0" w:before="0" w:line="268"/>
              <w:jc w:val="left"/>
            </w:pPr>
            <w:r>
              <w:rPr>
                <w:rFonts w:ascii="Arial" w:cs="Arial" w:eastAsia="Arial" w:hAnsi="Arial"/>
                <w:b/>
                <w:bCs/>
                <w:i w:val="false"/>
                <w:iCs w:val="false"/>
                <w:color w:val="000000"/>
                <w:sz w:val="19"/>
                <w:szCs w:val="19"/>
              </w:rPr>
              <w:t xml:space="preserve">RNF</w:t>
            </w:r>
          </w:p>
        </w:tc>
        <w:tc>
          <w:tcPr>
            <w:tcW w:type="dxa" w:w="71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Requisito no funcional. Describe una cualidad que el sistema debe exhibir: rendimiento, seguridad, usabilidad, mantenibilidad o confiabilidad.</w:t>
            </w:r>
          </w:p>
        </w:tc>
      </w:tr>
      <w:tr>
        <w:trPr>
          <w:cantSplit/>
        </w:trPr>
        <w:tc>
          <w:tcPr>
            <w:tcW w:type="dxa" w:w="1900"/>
            <w:tcMar>
              <w:top w:type="dxa" w:w="40"/>
              <w:left w:type="dxa" w:w="70"/>
              <w:bottom w:type="dxa" w:w="40"/>
              <w:right w:type="dxa" w:w="70"/>
            </w:tcMar>
            <w:vAlign w:val="top"/>
          </w:tcPr>
          <w:p>
            <w:pPr>
              <w:spacing w:after="0" w:before="0" w:line="268"/>
              <w:jc w:val="left"/>
            </w:pPr>
            <w:r>
              <w:rPr>
                <w:rFonts w:ascii="Arial" w:cs="Arial" w:eastAsia="Arial" w:hAnsi="Arial"/>
                <w:b/>
                <w:bCs/>
                <w:i w:val="false"/>
                <w:iCs w:val="false"/>
                <w:color w:val="000000"/>
                <w:sz w:val="19"/>
                <w:szCs w:val="19"/>
              </w:rPr>
              <w:t xml:space="preserve">CUS</w:t>
            </w:r>
          </w:p>
        </w:tc>
        <w:tc>
          <w:tcPr>
            <w:tcW w:type="dxa" w:w="71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Caso de Uso del Sistema. Secuencia de acciones que produce un resultado de valor para un actor.</w:t>
            </w:r>
          </w:p>
        </w:tc>
      </w:tr>
      <w:tr>
        <w:trPr>
          <w:cantSplit/>
        </w:trPr>
        <w:tc>
          <w:tcPr>
            <w:tcW w:type="dxa" w:w="1900"/>
            <w:tcMar>
              <w:top w:type="dxa" w:w="40"/>
              <w:left w:type="dxa" w:w="70"/>
              <w:bottom w:type="dxa" w:w="40"/>
              <w:right w:type="dxa" w:w="70"/>
            </w:tcMar>
            <w:vAlign w:val="top"/>
          </w:tcPr>
          <w:p>
            <w:pPr>
              <w:spacing w:after="0" w:before="0" w:line="268"/>
              <w:jc w:val="left"/>
            </w:pPr>
            <w:r>
              <w:rPr>
                <w:rFonts w:ascii="Arial" w:cs="Arial" w:eastAsia="Arial" w:hAnsi="Arial"/>
                <w:b/>
                <w:bCs/>
                <w:i w:val="false"/>
                <w:iCs w:val="false"/>
                <w:color w:val="000000"/>
                <w:sz w:val="19"/>
                <w:szCs w:val="19"/>
              </w:rPr>
              <w:t xml:space="preserve">PN</w:t>
            </w:r>
          </w:p>
        </w:tc>
        <w:tc>
          <w:tcPr>
            <w:tcW w:type="dxa" w:w="71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Proceso de Negocio levantado en la situación actual (AS-IS) de la ferretería.</w:t>
            </w:r>
          </w:p>
        </w:tc>
      </w:tr>
      <w:tr>
        <w:trPr>
          <w:cantSplit/>
        </w:trPr>
        <w:tc>
          <w:tcPr>
            <w:tcW w:type="dxa" w:w="1900"/>
            <w:tcMar>
              <w:top w:type="dxa" w:w="40"/>
              <w:left w:type="dxa" w:w="70"/>
              <w:bottom w:type="dxa" w:w="40"/>
              <w:right w:type="dxa" w:w="70"/>
            </w:tcMar>
            <w:vAlign w:val="top"/>
          </w:tcPr>
          <w:p>
            <w:pPr>
              <w:spacing w:after="0" w:before="0" w:line="268"/>
              <w:jc w:val="left"/>
            </w:pPr>
            <w:r>
              <w:rPr>
                <w:rFonts w:ascii="Arial" w:cs="Arial" w:eastAsia="Arial" w:hAnsi="Arial"/>
                <w:b/>
                <w:bCs/>
                <w:i w:val="false"/>
                <w:iCs w:val="false"/>
                <w:color w:val="000000"/>
                <w:sz w:val="19"/>
                <w:szCs w:val="19"/>
              </w:rPr>
              <w:t xml:space="preserve">CP</w:t>
            </w:r>
          </w:p>
        </w:tc>
        <w:tc>
          <w:tcPr>
            <w:tcW w:type="dxa" w:w="71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Caso de prueba diseñado para verificar un escenario concreto de un caso de uso.</w:t>
            </w:r>
          </w:p>
        </w:tc>
      </w:tr>
      <w:tr>
        <w:trPr>
          <w:cantSplit/>
        </w:trPr>
        <w:tc>
          <w:tcPr>
            <w:tcW w:type="dxa" w:w="1900"/>
            <w:tcMar>
              <w:top w:type="dxa" w:w="40"/>
              <w:left w:type="dxa" w:w="70"/>
              <w:bottom w:type="dxa" w:w="40"/>
              <w:right w:type="dxa" w:w="70"/>
            </w:tcMar>
            <w:vAlign w:val="top"/>
          </w:tcPr>
          <w:p>
            <w:pPr>
              <w:spacing w:after="0" w:before="0" w:line="268"/>
              <w:jc w:val="left"/>
            </w:pPr>
            <w:r>
              <w:rPr>
                <w:rFonts w:ascii="Arial" w:cs="Arial" w:eastAsia="Arial" w:hAnsi="Arial"/>
                <w:b/>
                <w:bCs/>
                <w:i w:val="false"/>
                <w:iCs w:val="false"/>
                <w:color w:val="000000"/>
                <w:sz w:val="19"/>
                <w:szCs w:val="19"/>
              </w:rPr>
              <w:t xml:space="preserve">Realización principal (X)</w:t>
            </w:r>
          </w:p>
        </w:tc>
        <w:tc>
          <w:tcPr>
            <w:tcW w:type="dxa" w:w="71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El caso de uso implementa el requisito. Cada requisito funcional tiene exactamente una.</w:t>
            </w:r>
          </w:p>
        </w:tc>
      </w:tr>
      <w:tr>
        <w:trPr>
          <w:cantSplit/>
        </w:trPr>
        <w:tc>
          <w:tcPr>
            <w:tcW w:type="dxa" w:w="1900"/>
            <w:tcMar>
              <w:top w:type="dxa" w:w="40"/>
              <w:left w:type="dxa" w:w="70"/>
              <w:bottom w:type="dxa" w:w="40"/>
              <w:right w:type="dxa" w:w="70"/>
            </w:tcMar>
            <w:vAlign w:val="top"/>
          </w:tcPr>
          <w:p>
            <w:pPr>
              <w:spacing w:after="0" w:before="0" w:line="268"/>
              <w:jc w:val="left"/>
            </w:pPr>
            <w:r>
              <w:rPr>
                <w:rFonts w:ascii="Arial" w:cs="Arial" w:eastAsia="Arial" w:hAnsi="Arial"/>
                <w:b/>
                <w:bCs/>
                <w:i w:val="false"/>
                <w:iCs w:val="false"/>
                <w:color w:val="000000"/>
                <w:sz w:val="19"/>
                <w:szCs w:val="19"/>
              </w:rPr>
              <w:t xml:space="preserve">Participación de soporte (o)</w:t>
            </w:r>
          </w:p>
        </w:tc>
        <w:tc>
          <w:tcPr>
            <w:tcW w:type="dxa" w:w="71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El caso de uso usa o depende del requisito, pero no es su dueño. Un requisito puede tener varias.</w:t>
            </w:r>
          </w:p>
        </w:tc>
      </w:tr>
      <w:tr>
        <w:trPr>
          <w:cantSplit/>
        </w:trPr>
        <w:tc>
          <w:tcPr>
            <w:tcW w:type="dxa" w:w="1900"/>
            <w:tcMar>
              <w:top w:type="dxa" w:w="40"/>
              <w:left w:type="dxa" w:w="70"/>
              <w:bottom w:type="dxa" w:w="40"/>
              <w:right w:type="dxa" w:w="70"/>
            </w:tcMar>
            <w:vAlign w:val="top"/>
          </w:tcPr>
          <w:p>
            <w:pPr>
              <w:spacing w:after="0" w:before="0" w:line="268"/>
              <w:jc w:val="left"/>
            </w:pPr>
            <w:r>
              <w:rPr>
                <w:rFonts w:ascii="Arial" w:cs="Arial" w:eastAsia="Arial" w:hAnsi="Arial"/>
                <w:b/>
                <w:bCs/>
                <w:i w:val="false"/>
                <w:iCs w:val="false"/>
                <w:color w:val="000000"/>
                <w:sz w:val="19"/>
                <w:szCs w:val="19"/>
              </w:rPr>
              <w:t xml:space="preserve">Requisito huérfano</w:t>
            </w:r>
          </w:p>
        </w:tc>
        <w:tc>
          <w:tcPr>
            <w:tcW w:type="dxa" w:w="71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Requisito sin ninguna realización principal. Señala funcionalidad pedida que nadie va a construir.</w:t>
            </w:r>
          </w:p>
        </w:tc>
      </w:tr>
      <w:tr>
        <w:trPr>
          <w:cantSplit/>
        </w:trPr>
        <w:tc>
          <w:tcPr>
            <w:tcW w:type="dxa" w:w="1900"/>
            <w:tcMar>
              <w:top w:type="dxa" w:w="40"/>
              <w:left w:type="dxa" w:w="70"/>
              <w:bottom w:type="dxa" w:w="40"/>
              <w:right w:type="dxa" w:w="70"/>
            </w:tcMar>
            <w:vAlign w:val="top"/>
          </w:tcPr>
          <w:p>
            <w:pPr>
              <w:spacing w:after="0" w:before="0" w:line="268"/>
              <w:jc w:val="left"/>
            </w:pPr>
            <w:r>
              <w:rPr>
                <w:rFonts w:ascii="Arial" w:cs="Arial" w:eastAsia="Arial" w:hAnsi="Arial"/>
                <w:b/>
                <w:bCs/>
                <w:i w:val="false"/>
                <w:iCs w:val="false"/>
                <w:color w:val="000000"/>
                <w:sz w:val="19"/>
                <w:szCs w:val="19"/>
              </w:rPr>
              <w:t xml:space="preserve">Caso de uso huérfano</w:t>
            </w:r>
          </w:p>
        </w:tc>
        <w:tc>
          <w:tcPr>
            <w:tcW w:type="dxa" w:w="71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Caso de uso sin ningún requisito asociado. Señala funcionalidad que nadie pidió.</w:t>
            </w:r>
          </w:p>
        </w:tc>
      </w:tr>
    </w:tbl>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1.4	</w:t>
      </w:r>
      <w:r>
        <w:rPr>
          <w:rFonts w:ascii="Arial" w:cs="Arial" w:eastAsia="Arial" w:hAnsi="Arial"/>
          <w:b/>
          <w:bCs/>
          <w:i w:val="false"/>
          <w:iCs w:val="false"/>
          <w:color w:val="000000"/>
          <w:sz w:val="22"/>
          <w:szCs w:val="22"/>
        </w:rPr>
        <w:t xml:space="preserve">Referencias</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DOCUMENTACIÓN DE FERREMAX — requisitos funcionales (secciones 4.1.1 a 4.1.6) y no funcionales (secciones 4.2.1 a 4.2.6).</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DAS_Ferremax_Grupo1 — Documento de Arquitectura del Software, versión 1.0.</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FMX-DNG — Documento de Negocio, versión 1.0, procesos PN1, PN2 y PN3.</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FMX-C01 a FMX-C09 — Especificaciones de los nueve casos de uso del sistema, versión 1.0.</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FMX-CRN.xlsx — Cronograma del proyecto, actividades del Hito 1 y del Hito 2.</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FMX-MTZ.xlsx — Hoja de cálculo con la matriz operativa que acompaña a este documento.</w:t>
      </w:r>
    </w:p>
    <w:p>
      <w:r>
        <w:br w:type="page"/>
      </w:r>
    </w:p>
    <w:p>
      <w:pPr>
        <w:pStyle w:val="Heading1"/>
        <w:tabs>
          <w:tab w:val="left" w:pos="640"/>
        </w:tabs>
        <w:spacing w:after="150" w:before="320"/>
      </w:pPr>
      <w:r>
        <w:rPr>
          <w:rFonts w:ascii="Arial" w:cs="Arial" w:eastAsia="Arial" w:hAnsi="Arial"/>
          <w:b/>
          <w:bCs/>
          <w:i w:val="false"/>
          <w:iCs w:val="false"/>
          <w:color w:val="000000"/>
          <w:sz w:val="26"/>
          <w:szCs w:val="26"/>
        </w:rPr>
        <w:t xml:space="preserve">2.	</w:t>
      </w:r>
      <w:r>
        <w:rPr>
          <w:rFonts w:ascii="Arial" w:cs="Arial" w:eastAsia="Arial" w:hAnsi="Arial"/>
          <w:b/>
          <w:bCs/>
          <w:i w:val="false"/>
          <w:iCs w:val="false"/>
          <w:color w:val="000000"/>
          <w:sz w:val="26"/>
          <w:szCs w:val="26"/>
        </w:rPr>
        <w:t xml:space="preserve">Método de consolidación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2.1	</w:t>
      </w:r>
      <w:r>
        <w:rPr>
          <w:rFonts w:ascii="Arial" w:cs="Arial" w:eastAsia="Arial" w:hAnsi="Arial"/>
          <w:b/>
          <w:bCs/>
          <w:i w:val="false"/>
          <w:iCs w:val="false"/>
          <w:color w:val="000000"/>
          <w:sz w:val="22"/>
          <w:szCs w:val="22"/>
        </w:rPr>
        <w:t xml:space="preserve">Fuentes utilizadas</w:t>
      </w:r>
    </w:p>
    <w:p>
      <w:pPr>
        <w:spacing w:after="120" w:before="0" w:line="268"/>
        <w:ind w:left="740"/>
        <w:jc w:val="both"/>
      </w:pPr>
      <w:r>
        <w:rPr>
          <w:rFonts w:ascii="Arial" w:cs="Arial" w:eastAsia="Arial" w:hAnsi="Arial"/>
          <w:b w:val="false"/>
          <w:bCs w:val="false"/>
          <w:i w:val="false"/>
          <w:iCs w:val="false"/>
          <w:color w:val="000000"/>
          <w:sz w:val="20"/>
          <w:szCs w:val="20"/>
        </w:rPr>
        <w:t xml:space="preserve">Los códigos y el texto de los requisitos se tomaron literalmente de la documentación del sistema, sin reescribirlos, para que la matriz pueda contrastarse con el documento de origen. La asignación a casos de uso se tomó de la sección de trazabilidad de cada especificación FMX-C01 a FMX-C09. Los responsables y las ramas de trabajo provienen del cronograma vigente.</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2.2	</w:t>
      </w:r>
      <w:r>
        <w:rPr>
          <w:rFonts w:ascii="Arial" w:cs="Arial" w:eastAsia="Arial" w:hAnsi="Arial"/>
          <w:b/>
          <w:bCs/>
          <w:i w:val="false"/>
          <w:iCs w:val="false"/>
          <w:color w:val="000000"/>
          <w:sz w:val="22"/>
          <w:szCs w:val="22"/>
        </w:rPr>
        <w:t xml:space="preserve">Criterios de relación</w:t>
      </w:r>
    </w:p>
    <w:p>
      <w:pPr>
        <w:spacing w:after="120" w:before="0" w:line="268"/>
        <w:ind w:left="740"/>
        <w:jc w:val="both"/>
      </w:pPr>
      <w:r>
        <w:rPr>
          <w:rFonts w:ascii="Arial" w:cs="Arial" w:eastAsia="Arial" w:hAnsi="Arial"/>
          <w:b w:val="false"/>
          <w:bCs w:val="false"/>
          <w:i w:val="false"/>
          <w:iCs w:val="false"/>
          <w:color w:val="000000"/>
          <w:sz w:val="20"/>
          <w:szCs w:val="20"/>
        </w:rPr>
        <w:t xml:space="preserve">Se distinguen dos tipos de relación, porque tratarlas igual ocultaría información útil:</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Realización principal (X): el caso de uso es el dueño del requisito; es donde se implementa y donde se prueba. Cada requisito funcional tiene una y solo una, de modo que la suma de las X de la matriz coincide con el número de requisitos.</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Participación de soporte (o): el caso de uso consume el requisito o depende de él, pero no lo implementa. Sirve para el análisis de impacto: si se modifica el requisito, estos casos de uso también hay que revisarlos, aunque no sean los responsables del cambio.</w:t>
      </w:r>
    </w:p>
    <w:p>
      <w:pPr>
        <w:spacing w:after="120" w:before="0" w:line="268"/>
        <w:ind w:left="740"/>
        <w:jc w:val="both"/>
      </w:pPr>
      <w:r>
        <w:rPr>
          <w:rFonts w:ascii="Arial" w:cs="Arial" w:eastAsia="Arial" w:hAnsi="Arial"/>
          <w:b w:val="false"/>
          <w:bCs w:val="false"/>
          <w:i w:val="false"/>
          <w:iCs w:val="false"/>
          <w:color w:val="000000"/>
          <w:sz w:val="20"/>
          <w:szCs w:val="20"/>
        </w:rPr>
        <w:t xml:space="preserve">Sin esta distinción, un requisito transversal como el control de acceso por roles aparecería marcado en los nueve casos de uso y haría imposible saber quién debe implementarlo.</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2.3	</w:t>
      </w:r>
      <w:r>
        <w:rPr>
          <w:rFonts w:ascii="Arial" w:cs="Arial" w:eastAsia="Arial" w:hAnsi="Arial"/>
          <w:b/>
          <w:bCs/>
          <w:i w:val="false"/>
          <w:iCs w:val="false"/>
          <w:color w:val="000000"/>
          <w:sz w:val="22"/>
          <w:szCs w:val="22"/>
        </w:rPr>
        <w:t xml:space="preserve">Procedimiento seguido</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Se listaron los 29 requisitos funcionales y los 19 no funcionales con su código y su texto original.</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Se recorrió cada especificación de caso de uso y se anotó el requisito que realiza cada uno de sus flujos.</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Se marcaron las participaciones de soporte a partir de las precondiciones y de los casos de uso incluidos en cada especificación.</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Se cruzó el resultado con los procesos de negocio del Documento de Negocio para confirmar que cada caso de uso responde a un problema real del negocio.</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Se verificó la cobertura en ambos sentidos y se dejaron los indicadores calculados con fórmulas, de modo que la hoja se recalcule sola al modificar la matriz.</w:t>
      </w:r>
    </w:p>
    <w:p>
      <w:pPr>
        <w:sectPr>
          <w:footerReference w:type="default" r:id="rId7"/>
          <w:pgSz w:w="11906" w:h="16838" w:orient="portrait"/>
          <w:pgMar w:top="1440" w:right="1440" w:bottom="1300" w:left="1440" w:header="708" w:footer="708" w:gutter="0"/>
          <w:pgNumType/>
          <w:docGrid w:linePitch="360"/>
        </w:sectPr>
      </w:pPr>
    </w:p>
    <w:p>
      <w:pPr>
        <w:pStyle w:val="Heading1"/>
        <w:tabs>
          <w:tab w:val="left" w:pos="640"/>
        </w:tabs>
        <w:spacing w:after="150" w:before="320"/>
      </w:pPr>
      <w:r>
        <w:rPr>
          <w:rFonts w:ascii="Arial" w:cs="Arial" w:eastAsia="Arial" w:hAnsi="Arial"/>
          <w:b/>
          <w:bCs/>
          <w:i w:val="false"/>
          <w:iCs w:val="false"/>
          <w:color w:val="000000"/>
          <w:sz w:val="26"/>
          <w:szCs w:val="26"/>
        </w:rPr>
        <w:t xml:space="preserve">3.	</w:t>
      </w:r>
      <w:r>
        <w:rPr>
          <w:rFonts w:ascii="Arial" w:cs="Arial" w:eastAsia="Arial" w:hAnsi="Arial"/>
          <w:b/>
          <w:bCs/>
          <w:i w:val="false"/>
          <w:iCs w:val="false"/>
          <w:color w:val="000000"/>
          <w:sz w:val="26"/>
          <w:szCs w:val="26"/>
        </w:rPr>
        <w:t xml:space="preserve">Matriz de trazabilidad RF ↔ CUS</w:t>
      </w:r>
    </w:p>
    <w:p>
      <w:pPr>
        <w:spacing w:after="140" w:before="0" w:line="268"/>
        <w:jc w:val="both"/>
      </w:pPr>
      <w:r>
        <w:rPr>
          <w:rFonts w:ascii="Arial" w:cs="Arial" w:eastAsia="Arial" w:hAnsi="Arial"/>
          <w:b w:val="false"/>
          <w:bCs w:val="false"/>
          <w:i/>
          <w:iCs/>
          <w:color w:val="000000"/>
          <w:sz w:val="18"/>
          <w:szCs w:val="18"/>
        </w:rPr>
        <w:t xml:space="preserve">X = realización principal   ·   o = participación de soporte. La columna «Nº» cuenta ambas. Los 29 requisitos tienen realización principal, de modo que no hay requisitos huérfanos.</w:t>
      </w:r>
    </w:p>
    <w:tbl>
      <w:tblPr>
        <w:tblW w:type="dxa" w:w="13180"/>
        <w:tblBorders>
          <w:top w:val="single" w:color="000000" w:sz="6"/>
          <w:left w:val="single" w:color="000000" w:sz="6"/>
          <w:bottom w:val="single" w:color="000000" w:sz="6"/>
          <w:right w:val="single" w:color="000000" w:sz="6"/>
          <w:insideH w:val="single" w:color="000000" w:sz="4"/>
          <w:insideV w:val="single" w:color="000000" w:sz="4"/>
        </w:tblBorders>
      </w:tblPr>
      <w:tblGrid>
        <w:gridCol w:w="1000"/>
        <w:gridCol w:w="3300"/>
        <w:gridCol w:w="1500"/>
        <w:gridCol w:w="600"/>
        <w:gridCol w:w="600"/>
        <w:gridCol w:w="600"/>
        <w:gridCol w:w="600"/>
        <w:gridCol w:w="600"/>
        <w:gridCol w:w="600"/>
        <w:gridCol w:w="600"/>
        <w:gridCol w:w="600"/>
        <w:gridCol w:w="600"/>
        <w:gridCol w:w="780"/>
        <w:gridCol w:w="1200"/>
      </w:tblGrid>
      <w:tr>
        <w:trPr>
          <w:tblHeader/>
        </w:trPr>
        <w:tc>
          <w:tcPr>
            <w:tcW w:type="dxa" w:w="10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Código</w:t>
            </w:r>
          </w:p>
        </w:tc>
        <w:tc>
          <w:tcPr>
            <w:tcW w:type="dxa" w:w="33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Requisito funcional</w:t>
            </w:r>
          </w:p>
        </w:tc>
        <w:tc>
          <w:tcPr>
            <w:tcW w:type="dxa" w:w="15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Módulo</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C01</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C02</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C03</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C04</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C05</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C06</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C07</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C08</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C09</w:t>
            </w:r>
          </w:p>
        </w:tc>
        <w:tc>
          <w:tcPr>
            <w:tcW w:type="dxa" w:w="78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Nº</w:t>
            </w:r>
          </w:p>
        </w:tc>
        <w:tc>
          <w:tcPr>
            <w:tcW w:type="dxa" w:w="12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Estado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RF-01</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Iniciar sesión</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Autenticación</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RF-02</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Cerrar sesión</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Autenticación</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RF-03</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Control de acceso por roles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Autenticación</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8</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RF-04</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Bloqueo por intentos fallidos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Autenticación</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RF-05</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Registrar producto</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Productos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RF-06</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Modificar producto</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Productos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RF-07</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Eliminar producto</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Productos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RF-08</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Consultar productos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Productos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RF-09</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Control de stock mínimo</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Productos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RF-10</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Realizar venta</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Ventas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RF-11</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Cálculo automático de totales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Ventas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RF-12</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Verificar stock disponible</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Ventas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RF-13</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Generar factura</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Ventas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RF-14</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Imprimir factura</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Ventas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RF-15</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Historial de ventas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Ventas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RF-16</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Actualización de stock por venta</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Inventario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RF-17</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Actualización de stock por compra</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Inventario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RF-18</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Consultar stock actual</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Inventario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RF-19</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Imprimir lista de stock</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Inventario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RF-20</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Alertas de stock bajo</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Inventario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RF-21</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Reporte de ventas por período</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Reportes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RF-22</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Ver productos más vendidos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Reportes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RF-23</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Ver productos menos vendidos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Reportes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RF-24</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Exportar reportes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Reportes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3</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RF-25</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Filtrar reportes por vendedor</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Reportes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RF-26</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Registrar usuario</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Usuarios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RF-27</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Eliminar usuario</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Usuarios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RF-28</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Listar usuarios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Usuarios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RF-29</w:t>
            </w:r>
          </w:p>
        </w:tc>
        <w:tc>
          <w:tcPr>
            <w:tcW w:type="dxa" w:w="33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Cambiar contraseña</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Usuarios</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7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Cubierto</w:t>
            </w:r>
          </w:p>
        </w:tc>
      </w:tr>
      <w:tr>
        <w:trPr>
          <w:cantSplit/>
        </w:trPr>
        <w:tc>
          <w:tcPr>
            <w:tcW w:type="dxa" w:w="5800"/>
            <w:gridSpan w:val="3"/>
            <w:shd w:fill="EAF1FB" w:color="auto" w:val="clear"/>
            <w:tcMar>
              <w:top w:type="dxa" w:w="40"/>
              <w:left w:type="dxa" w:w="70"/>
              <w:bottom w:type="dxa" w:w="40"/>
              <w:right w:type="dxa" w:w="70"/>
            </w:tcMar>
            <w:vAlign w:val="center"/>
          </w:tcPr>
          <w:p>
            <w:pPr>
              <w:spacing w:after="0" w:before="0" w:line="268"/>
              <w:jc w:val="right"/>
            </w:pPr>
            <w:r>
              <w:rPr>
                <w:rFonts w:ascii="Arial" w:cs="Arial" w:eastAsia="Arial" w:hAnsi="Arial"/>
                <w:b/>
                <w:bCs/>
                <w:i w:val="false"/>
                <w:iCs w:val="false"/>
                <w:color w:val="000000"/>
                <w:sz w:val="16"/>
                <w:szCs w:val="16"/>
              </w:rPr>
              <w:t xml:space="preserve">Requisitos por caso de uso  →</w:t>
            </w:r>
          </w:p>
        </w:tc>
        <w:tc>
          <w:tcPr>
            <w:tcW w:type="dxa" w:w="600"/>
            <w:shd w:fill="EAF1FB"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3</w:t>
            </w:r>
          </w:p>
        </w:tc>
        <w:tc>
          <w:tcPr>
            <w:tcW w:type="dxa" w:w="600"/>
            <w:shd w:fill="EAF1FB"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1</w:t>
            </w:r>
          </w:p>
        </w:tc>
        <w:tc>
          <w:tcPr>
            <w:tcW w:type="dxa" w:w="600"/>
            <w:shd w:fill="EAF1FB"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8</w:t>
            </w:r>
          </w:p>
        </w:tc>
        <w:tc>
          <w:tcPr>
            <w:tcW w:type="dxa" w:w="600"/>
            <w:shd w:fill="EAF1FB"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5</w:t>
            </w:r>
          </w:p>
        </w:tc>
        <w:tc>
          <w:tcPr>
            <w:tcW w:type="dxa" w:w="600"/>
            <w:shd w:fill="EAF1FB"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1</w:t>
            </w:r>
          </w:p>
        </w:tc>
        <w:tc>
          <w:tcPr>
            <w:tcW w:type="dxa" w:w="600"/>
            <w:shd w:fill="EAF1FB"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2</w:t>
            </w:r>
          </w:p>
        </w:tc>
        <w:tc>
          <w:tcPr>
            <w:tcW w:type="dxa" w:w="600"/>
            <w:shd w:fill="EAF1FB"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1</w:t>
            </w:r>
          </w:p>
        </w:tc>
        <w:tc>
          <w:tcPr>
            <w:tcW w:type="dxa" w:w="600"/>
            <w:shd w:fill="EAF1FB"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4</w:t>
            </w:r>
          </w:p>
        </w:tc>
        <w:tc>
          <w:tcPr>
            <w:tcW w:type="dxa" w:w="600"/>
            <w:shd w:fill="EAF1FB"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4</w:t>
            </w:r>
          </w:p>
        </w:tc>
        <w:tc>
          <w:tcPr>
            <w:tcW w:type="dxa" w:w="780"/>
            <w:shd w:fill="EAF1FB"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29</w:t>
            </w:r>
          </w:p>
        </w:tc>
        <w:tc>
          <w:tcPr>
            <w:tcW w:type="dxa" w:w="1200"/>
            <w:shd w:fill="EAF1FB" w:color="auto" w:val="clear"/>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r>
    </w:tbl>
    <w:p>
      <w:r>
        <w:br w:type="page"/>
      </w:r>
    </w:p>
    <w:p>
      <w:pPr>
        <w:pStyle w:val="Heading1"/>
        <w:tabs>
          <w:tab w:val="left" w:pos="640"/>
        </w:tabs>
        <w:spacing w:after="150" w:before="320"/>
      </w:pPr>
      <w:r>
        <w:rPr>
          <w:rFonts w:ascii="Arial" w:cs="Arial" w:eastAsia="Arial" w:hAnsi="Arial"/>
          <w:b/>
          <w:bCs/>
          <w:i w:val="false"/>
          <w:iCs w:val="false"/>
          <w:color w:val="000000"/>
          <w:sz w:val="26"/>
          <w:szCs w:val="26"/>
        </w:rPr>
        <w:t xml:space="preserve">4.	</w:t>
      </w:r>
      <w:r>
        <w:rPr>
          <w:rFonts w:ascii="Arial" w:cs="Arial" w:eastAsia="Arial" w:hAnsi="Arial"/>
          <w:b/>
          <w:bCs/>
          <w:i w:val="false"/>
          <w:iCs w:val="false"/>
          <w:color w:val="000000"/>
          <w:sz w:val="26"/>
          <w:szCs w:val="26"/>
        </w:rPr>
        <w:t xml:space="preserve">Matriz de trazabilidad RNF ↔ CUS</w:t>
      </w:r>
    </w:p>
    <w:p>
      <w:pPr>
        <w:spacing w:after="140" w:before="0" w:line="268"/>
        <w:jc w:val="both"/>
      </w:pPr>
      <w:r>
        <w:rPr>
          <w:rFonts w:ascii="Arial" w:cs="Arial" w:eastAsia="Arial" w:hAnsi="Arial"/>
          <w:b w:val="false"/>
          <w:bCs w:val="false"/>
          <w:i/>
          <w:iCs/>
          <w:color w:val="000000"/>
          <w:sz w:val="18"/>
          <w:szCs w:val="18"/>
        </w:rPr>
        <w:t xml:space="preserve">Un requisito no funcional puede restringir a un caso de uso concreto o a todo el sistema. Las marcas en tono claro corresponden a restricciones transversales, que aplican a los nueve casos de uso por igual.</w:t>
      </w:r>
    </w:p>
    <w:tbl>
      <w:tblPr>
        <w:tblW w:type="dxa" w:w="12180"/>
        <w:tblBorders>
          <w:top w:val="single" w:color="000000" w:sz="6"/>
          <w:left w:val="single" w:color="000000" w:sz="6"/>
          <w:bottom w:val="single" w:color="000000" w:sz="6"/>
          <w:right w:val="single" w:color="000000" w:sz="6"/>
          <w:insideH w:val="single" w:color="000000" w:sz="4"/>
          <w:insideV w:val="single" w:color="000000" w:sz="4"/>
        </w:tblBorders>
      </w:tblPr>
      <w:tblGrid>
        <w:gridCol w:w="1000"/>
        <w:gridCol w:w="3100"/>
        <w:gridCol w:w="1700"/>
        <w:gridCol w:w="600"/>
        <w:gridCol w:w="600"/>
        <w:gridCol w:w="600"/>
        <w:gridCol w:w="600"/>
        <w:gridCol w:w="600"/>
        <w:gridCol w:w="600"/>
        <w:gridCol w:w="600"/>
        <w:gridCol w:w="600"/>
        <w:gridCol w:w="600"/>
        <w:gridCol w:w="980"/>
      </w:tblGrid>
      <w:tr>
        <w:trPr>
          <w:tblHeader/>
        </w:trPr>
        <w:tc>
          <w:tcPr>
            <w:tcW w:type="dxa" w:w="10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Código</w:t>
            </w:r>
          </w:p>
        </w:tc>
        <w:tc>
          <w:tcPr>
            <w:tcW w:type="dxa" w:w="31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Requisito no funcional</w:t>
            </w:r>
          </w:p>
        </w:tc>
        <w:tc>
          <w:tcPr>
            <w:tcW w:type="dxa" w:w="17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Categoría</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C01</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C02</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C03</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C04</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C05</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C06</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C07</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C08</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C09</w:t>
            </w:r>
          </w:p>
        </w:tc>
        <w:tc>
          <w:tcPr>
            <w:tcW w:type="dxa" w:w="98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Nº</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RNF-01</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Tiempo de respuesta en ventas</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Rendimiento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RNF-02</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Tiempo de respuesta en reportes</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Rendimiento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3</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RNF-03</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Concurrencia</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Rendimiento</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RNF-04</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Disponibilidad</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Rendimiento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9</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RNF-05</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Encriptación de contraseñas</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Seguridad</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RNF-06</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Protección contra inyección SQL</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Seguridad</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9</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RNF-07</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Protección de sesiones</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Seguridad</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RNF-08</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Registro de auditoría</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Seguridad</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3</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RNF-09</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Interfaz intuitiva</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Usabilidad</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9</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RNF-10</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Accesibilidad desde navegadores</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Usabilidad</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9</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RNF-11</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Diseño responsivo</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Usabilidad</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9</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RNF-12</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Mensajes de error claros</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Usabilidad</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4</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RNF-13</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Arquitectura MVC</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Mantenibilidad</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9</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RNF-14</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Código documentado</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Mantenibilidad</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9</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RNF-15</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Portabilidad</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Mantenibilidad</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9</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RNF-16</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Integridad de datos</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Confiabilidad</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3</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RNF-17</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Respaldo de información</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Confiabilidad</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9</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RNF-18</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Interfaz web</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Interfaz</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600"/>
            <w:shd w:fill="BDD7EE"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o</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9</w:t>
            </w:r>
          </w:p>
        </w:tc>
      </w:tr>
      <w:tr>
        <w:trPr>
          <w:cantSplit/>
        </w:trPr>
        <w:tc>
          <w:tcPr>
            <w:tcW w:type="dxa" w:w="10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RNF-19</w:t>
            </w:r>
          </w:p>
        </w:tc>
        <w:tc>
          <w:tcPr>
            <w:tcW w:type="dxa" w:w="3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Impresión desde navegador</w:t>
            </w:r>
          </w:p>
        </w:tc>
        <w:tc>
          <w:tcPr>
            <w:tcW w:type="dxa" w:w="17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Interfaz</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4</w:t>
            </w:r>
          </w:p>
        </w:tc>
      </w:tr>
    </w:tbl>
    <w:p>
      <w:r>
        <w:br w:type="page"/>
      </w:r>
    </w:p>
    <w:p>
      <w:pPr>
        <w:pStyle w:val="Heading1"/>
        <w:tabs>
          <w:tab w:val="left" w:pos="640"/>
        </w:tabs>
        <w:spacing w:after="150" w:before="320"/>
      </w:pPr>
      <w:r>
        <w:rPr>
          <w:rFonts w:ascii="Arial" w:cs="Arial" w:eastAsia="Arial" w:hAnsi="Arial"/>
          <w:b/>
          <w:bCs/>
          <w:i w:val="false"/>
          <w:iCs w:val="false"/>
          <w:color w:val="000000"/>
          <w:sz w:val="26"/>
          <w:szCs w:val="26"/>
        </w:rPr>
        <w:t xml:space="preserve">5.	</w:t>
      </w:r>
      <w:r>
        <w:rPr>
          <w:rFonts w:ascii="Arial" w:cs="Arial" w:eastAsia="Arial" w:hAnsi="Arial"/>
          <w:b/>
          <w:bCs/>
          <w:i w:val="false"/>
          <w:iCs w:val="false"/>
          <w:color w:val="000000"/>
          <w:sz w:val="26"/>
          <w:szCs w:val="26"/>
        </w:rPr>
        <w:t xml:space="preserve">Trazabilidad con los procesos de negocio</w:t>
      </w:r>
    </w:p>
    <w:p>
      <w:pPr>
        <w:spacing w:after="140" w:before="0" w:line="268"/>
        <w:jc w:val="both"/>
      </w:pPr>
      <w:r>
        <w:rPr>
          <w:rFonts w:ascii="Arial" w:cs="Arial" w:eastAsia="Arial" w:hAnsi="Arial"/>
          <w:b w:val="false"/>
          <w:bCs w:val="false"/>
          <w:i/>
          <w:iCs/>
          <w:color w:val="000000"/>
          <w:sz w:val="18"/>
          <w:szCs w:val="18"/>
        </w:rPr>
        <w:t xml:space="preserve">Relaciona los procesos levantados en el Documento de Negocio con los casos de uso que los automatizan. Sirve para comprobar que ningún caso de uso existe sin un problema de negocio que lo justifique.</w:t>
      </w:r>
    </w:p>
    <w:tbl>
      <w:tblPr>
        <w:tblW w:type="dxa" w:w="14180"/>
        <w:tblBorders>
          <w:top w:val="single" w:color="000000" w:sz="6"/>
          <w:left w:val="single" w:color="000000" w:sz="6"/>
          <w:bottom w:val="single" w:color="000000" w:sz="6"/>
          <w:right w:val="single" w:color="000000" w:sz="6"/>
          <w:insideH w:val="single" w:color="000000" w:sz="4"/>
          <w:insideV w:val="single" w:color="000000" w:sz="4"/>
        </w:tblBorders>
      </w:tblPr>
      <w:tblGrid>
        <w:gridCol w:w="900"/>
        <w:gridCol w:w="2700"/>
        <w:gridCol w:w="4200"/>
        <w:gridCol w:w="600"/>
        <w:gridCol w:w="600"/>
        <w:gridCol w:w="600"/>
        <w:gridCol w:w="600"/>
        <w:gridCol w:w="600"/>
        <w:gridCol w:w="600"/>
        <w:gridCol w:w="600"/>
        <w:gridCol w:w="600"/>
        <w:gridCol w:w="600"/>
        <w:gridCol w:w="980"/>
      </w:tblGrid>
      <w:tr>
        <w:trPr>
          <w:tblHeader/>
        </w:trPr>
        <w:tc>
          <w:tcPr>
            <w:tcW w:type="dxa" w:w="9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Código</w:t>
            </w:r>
          </w:p>
        </w:tc>
        <w:tc>
          <w:tcPr>
            <w:tcW w:type="dxa" w:w="27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Proceso de negocio</w:t>
            </w:r>
          </w:p>
        </w:tc>
        <w:tc>
          <w:tcPr>
            <w:tcW w:type="dxa" w:w="42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Descripción</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C01</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C02</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C03</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C04</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C05</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C06</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C07</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C08</w:t>
            </w:r>
          </w:p>
        </w:tc>
        <w:tc>
          <w:tcPr>
            <w:tcW w:type="dxa" w:w="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C09</w:t>
            </w:r>
          </w:p>
        </w:tc>
        <w:tc>
          <w:tcPr>
            <w:tcW w:type="dxa" w:w="98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5"/>
                <w:szCs w:val="15"/>
              </w:rPr>
              <w:t xml:space="preserve">Nº</w:t>
            </w:r>
          </w:p>
        </w:tc>
      </w:tr>
      <w:tr>
        <w:trPr>
          <w:cantSplit/>
        </w:trPr>
        <w:tc>
          <w:tcPr>
            <w:tcW w:type="dxa" w:w="9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PN1</w:t>
            </w:r>
          </w:p>
        </w:tc>
        <w:tc>
          <w:tcPr>
            <w:tcW w:type="dxa" w:w="27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Venta al cliente</w:t>
            </w:r>
          </w:p>
        </w:tc>
        <w:tc>
          <w:tcPr>
            <w:tcW w:type="dxa" w:w="42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Atención en mostrador, cobro y emisión del comprobante.</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3</w:t>
            </w:r>
          </w:p>
        </w:tc>
      </w:tr>
      <w:tr>
        <w:trPr>
          <w:cantSplit/>
        </w:trPr>
        <w:tc>
          <w:tcPr>
            <w:tcW w:type="dxa" w:w="9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PN2</w:t>
            </w:r>
          </w:p>
        </w:tc>
        <w:tc>
          <w:tcPr>
            <w:tcW w:type="dxa" w:w="27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Gestión de inventario</w:t>
            </w:r>
          </w:p>
        </w:tc>
        <w:tc>
          <w:tcPr>
            <w:tcW w:type="dxa" w:w="42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Conteo, reposición y control de las existencias del almacén.</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2</w:t>
            </w:r>
          </w:p>
        </w:tc>
      </w:tr>
      <w:tr>
        <w:trPr>
          <w:cantSplit/>
        </w:trPr>
        <w:tc>
          <w:tcPr>
            <w:tcW w:type="dxa" w:w="900"/>
            <w:tcMar>
              <w:top w:type="dxa" w:w="40"/>
              <w:left w:type="dxa" w:w="70"/>
              <w:bottom w:type="dxa" w:w="40"/>
              <w:right w:type="dxa" w:w="70"/>
            </w:tcMar>
            <w:vAlign w:val="center"/>
          </w:tcPr>
          <w:p>
            <w:pPr>
              <w:spacing w:after="0" w:before="0" w:line="268"/>
              <w:jc w:val="left"/>
            </w:pPr>
            <w:r>
              <w:rPr>
                <w:rFonts w:ascii="Arial" w:cs="Arial" w:eastAsia="Arial" w:hAnsi="Arial"/>
                <w:b/>
                <w:bCs/>
                <w:i w:val="false"/>
                <w:iCs w:val="false"/>
                <w:color w:val="000000"/>
                <w:sz w:val="16"/>
                <w:szCs w:val="16"/>
              </w:rPr>
              <w:t xml:space="preserve">PN3</w:t>
            </w:r>
          </w:p>
        </w:tc>
        <w:tc>
          <w:tcPr>
            <w:tcW w:type="dxa" w:w="27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Administración y análisis</w:t>
            </w:r>
          </w:p>
        </w:tc>
        <w:tc>
          <w:tcPr>
            <w:tcW w:type="dxa" w:w="42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Gestión del personal del negocio y análisis de los resultados de venta.</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6"/>
                <w:szCs w:val="16"/>
              </w:rPr>
              <w:t xml:space="preserve"/>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600"/>
            <w:shd w:fill="2E5AA8" w:color="auto" w:val="clear"/>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FFFFFF"/>
                <w:sz w:val="16"/>
                <w:szCs w:val="16"/>
              </w:rPr>
              <w:t xml:space="preserve">X</w:t>
            </w:r>
          </w:p>
        </w:tc>
        <w:tc>
          <w:tcPr>
            <w:tcW w:type="dxa" w:w="98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4</w:t>
            </w:r>
          </w:p>
        </w:tc>
      </w:tr>
    </w:tbl>
    <w:p>
      <w:pPr>
        <w:spacing w:after="160"/>
      </w:pPr>
      <w:r>
        <w:rPr>
          <w:rFonts w:ascii="Arial" w:cs="Arial" w:eastAsia="Arial" w:hAnsi="Arial"/>
          <w:b w:val="false"/>
          <w:bCs w:val="false"/>
          <w:i w:val="false"/>
          <w:iCs w:val="false"/>
          <w:color w:val="000000"/>
          <w:sz w:val="20"/>
          <w:szCs w:val="20"/>
        </w:rPr>
        <w:t xml:space="preserve"/>
      </w:r>
    </w:p>
    <w:p>
      <w:pPr>
        <w:spacing w:after="120" w:before="0" w:line="268"/>
        <w:jc w:val="both"/>
      </w:pPr>
      <w:r>
        <w:rPr>
          <w:rFonts w:ascii="Arial" w:cs="Arial" w:eastAsia="Arial" w:hAnsi="Arial"/>
          <w:b w:val="false"/>
          <w:bCs w:val="false"/>
          <w:i w:val="false"/>
          <w:iCs w:val="false"/>
          <w:color w:val="000000"/>
          <w:sz w:val="19"/>
          <w:szCs w:val="19"/>
        </w:rPr>
        <w:t xml:space="preserve">Los nueve casos de uso quedan asociados a alguno de los tres procesos, de modo que no hay casos de uso huérfanos de negocio.</w:t>
      </w:r>
    </w:p>
    <w:p>
      <w:pPr>
        <w:sectPr>
          <w:footerReference w:type="default" r:id="rId8"/>
          <w:pgSz w:w="16838" w:h="11906" w:orient="landscape"/>
          <w:pgMar w:top="1100" w:right="1100" w:bottom="1000" w:left="1100" w:header="708" w:footer="708" w:gutter="0"/>
          <w:pgNumType/>
          <w:docGrid w:linePitch="360"/>
        </w:sectPr>
      </w:pPr>
    </w:p>
    <w:p>
      <w:pPr>
        <w:pStyle w:val="Heading1"/>
        <w:tabs>
          <w:tab w:val="left" w:pos="640"/>
        </w:tabs>
        <w:spacing w:after="150" w:before="320"/>
      </w:pPr>
      <w:r>
        <w:rPr>
          <w:rFonts w:ascii="Arial" w:cs="Arial" w:eastAsia="Arial" w:hAnsi="Arial"/>
          <w:b/>
          <w:bCs/>
          <w:i w:val="false"/>
          <w:iCs w:val="false"/>
          <w:color w:val="000000"/>
          <w:sz w:val="26"/>
          <w:szCs w:val="26"/>
        </w:rPr>
        <w:t xml:space="preserve">6.	</w:t>
      </w:r>
      <w:r>
        <w:rPr>
          <w:rFonts w:ascii="Arial" w:cs="Arial" w:eastAsia="Arial" w:hAnsi="Arial"/>
          <w:b/>
          <w:bCs/>
          <w:i w:val="false"/>
          <w:iCs w:val="false"/>
          <w:color w:val="000000"/>
          <w:sz w:val="26"/>
          <w:szCs w:val="26"/>
        </w:rPr>
        <w:t xml:space="preserve">Trazabilidad de entrega y de verificación</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6.1	</w:t>
      </w:r>
      <w:r>
        <w:rPr>
          <w:rFonts w:ascii="Arial" w:cs="Arial" w:eastAsia="Arial" w:hAnsi="Arial"/>
          <w:b/>
          <w:bCs/>
          <w:i w:val="false"/>
          <w:iCs w:val="false"/>
          <w:color w:val="000000"/>
          <w:sz w:val="22"/>
          <w:szCs w:val="22"/>
        </w:rPr>
        <w:t xml:space="preserve">Caso de uso ↔ responsable y documento</w:t>
      </w:r>
    </w:p>
    <w:p>
      <w:pPr>
        <w:spacing w:after="120" w:before="0" w:line="268"/>
        <w:ind w:left="740"/>
        <w:jc w:val="both"/>
      </w:pPr>
      <w:r>
        <w:rPr>
          <w:rFonts w:ascii="Arial" w:cs="Arial" w:eastAsia="Arial" w:hAnsi="Arial"/>
          <w:b w:val="false"/>
          <w:bCs w:val="false"/>
          <w:i w:val="false"/>
          <w:iCs w:val="false"/>
          <w:color w:val="000000"/>
          <w:sz w:val="20"/>
          <w:szCs w:val="20"/>
        </w:rPr>
        <w:t xml:space="preserve">Cada caso de uso tiene un único responsable, su documento de especificación y su rama de trabajo en el repositorio. La asignación proviene del cronograma vigente.</w:t>
      </w:r>
    </w:p>
    <w:p>
      <w:pPr>
        <w:spacing w:after="60"/>
      </w:pPr>
      <w:r>
        <w:rPr>
          <w:rFonts w:ascii="Arial" w:cs="Arial" w:eastAsia="Arial" w:hAnsi="Arial"/>
          <w:b w:val="false"/>
          <w:bCs w:val="false"/>
          <w:i w:val="false"/>
          <w:iCs w:val="false"/>
          <w:color w:val="000000"/>
          <w:sz w:val="20"/>
          <w:szCs w:val="20"/>
        </w:rPr>
        <w:t xml:space="preserve"/>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1100"/>
        <w:gridCol w:w="2500"/>
        <w:gridCol w:w="1500"/>
        <w:gridCol w:w="2100"/>
        <w:gridCol w:w="1820"/>
      </w:tblGrid>
      <w:tr>
        <w:trPr>
          <w:tblHeader/>
        </w:trPr>
        <w:tc>
          <w:tcPr>
            <w:tcW w:type="dxa" w:w="11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8"/>
                <w:szCs w:val="18"/>
              </w:rPr>
              <w:t xml:space="preserve">Caso de uso</w:t>
            </w:r>
          </w:p>
        </w:tc>
        <w:tc>
          <w:tcPr>
            <w:tcW w:type="dxa" w:w="25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8"/>
                <w:szCs w:val="18"/>
              </w:rPr>
              <w:t xml:space="preserve">Nombre</w:t>
            </w:r>
          </w:p>
        </w:tc>
        <w:tc>
          <w:tcPr>
            <w:tcW w:type="dxa" w:w="15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8"/>
                <w:szCs w:val="18"/>
              </w:rPr>
              <w:t xml:space="preserve">Paquete</w:t>
            </w:r>
          </w:p>
        </w:tc>
        <w:tc>
          <w:tcPr>
            <w:tcW w:type="dxa" w:w="21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8"/>
                <w:szCs w:val="18"/>
              </w:rPr>
              <w:t xml:space="preserve">Responsable</w:t>
            </w:r>
          </w:p>
        </w:tc>
        <w:tc>
          <w:tcPr>
            <w:tcW w:type="dxa" w:w="182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8"/>
                <w:szCs w:val="18"/>
              </w:rPr>
              <w:t xml:space="preserve">Documento y rama</w:t>
            </w:r>
          </w:p>
        </w:tc>
      </w:tr>
      <w:tr>
        <w:trPr>
          <w:cantSplit/>
        </w:trPr>
        <w:tc>
          <w:tcPr>
            <w:tcW w:type="dxa" w:w="11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8"/>
                <w:szCs w:val="18"/>
              </w:rPr>
              <w:t xml:space="preserve">CUS-01</w:t>
            </w:r>
          </w:p>
        </w:tc>
        <w:tc>
          <w:tcPr>
            <w:tcW w:type="dxa" w:w="25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Iniciar sesión</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8"/>
                <w:szCs w:val="18"/>
              </w:rPr>
              <w:t xml:space="preserve">Seguridad</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Castillejo Huancas</w:t>
            </w:r>
          </w:p>
        </w:tc>
        <w:tc>
          <w:tcPr>
            <w:tcW w:type="dxa" w:w="1820"/>
            <w:tcMar>
              <w:top w:type="dxa" w:w="40"/>
              <w:left w:type="dxa" w:w="70"/>
              <w:bottom w:type="dxa" w:w="40"/>
              <w:right w:type="dxa" w:w="70"/>
            </w:tcMar>
            <w:vAlign w:val="top"/>
          </w:tcPr>
          <w:p>
            <w:pPr>
              <w:spacing w:after="0" w:before="0" w:line="268"/>
              <w:jc w:val="both"/>
            </w:pPr>
            <w:r>
              <w:rPr>
                <w:rFonts w:ascii="Arial" w:cs="Arial" w:eastAsia="Arial" w:hAnsi="Arial"/>
                <w:b w:val="false"/>
                <w:bCs w:val="false"/>
                <w:i w:val="false"/>
                <w:iCs w:val="false"/>
                <w:color w:val="000000"/>
                <w:sz w:val="18"/>
                <w:szCs w:val="18"/>
              </w:rPr>
              <w:t xml:space="preserve">FMX-C01.docx</w:t>
            </w:r>
          </w:p>
          <w:p>
            <w:pPr>
              <w:spacing w:after="0" w:before="0" w:line="268"/>
              <w:jc w:val="both"/>
            </w:pPr>
            <w:r>
              <w:rPr>
                <w:rFonts w:ascii="Arial" w:cs="Arial" w:eastAsia="Arial" w:hAnsi="Arial"/>
                <w:b w:val="false"/>
                <w:bCs w:val="false"/>
                <w:i w:val="false"/>
                <w:iCs w:val="false"/>
                <w:color w:val="595959"/>
                <w:sz w:val="17"/>
                <w:szCs w:val="17"/>
              </w:rPr>
              <w:t xml:space="preserve">feature/c01</w:t>
            </w:r>
          </w:p>
        </w:tc>
      </w:tr>
      <w:tr>
        <w:trPr>
          <w:cantSplit/>
        </w:trPr>
        <w:tc>
          <w:tcPr>
            <w:tcW w:type="dxa" w:w="11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8"/>
                <w:szCs w:val="18"/>
              </w:rPr>
              <w:t xml:space="preserve">CUS-02</w:t>
            </w:r>
          </w:p>
        </w:tc>
        <w:tc>
          <w:tcPr>
            <w:tcW w:type="dxa" w:w="25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Cerrar sesión</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8"/>
                <w:szCs w:val="18"/>
              </w:rPr>
              <w:t xml:space="preserve">Seguridad</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Castillejo Huancas</w:t>
            </w:r>
          </w:p>
        </w:tc>
        <w:tc>
          <w:tcPr>
            <w:tcW w:type="dxa" w:w="1820"/>
            <w:tcMar>
              <w:top w:type="dxa" w:w="40"/>
              <w:left w:type="dxa" w:w="70"/>
              <w:bottom w:type="dxa" w:w="40"/>
              <w:right w:type="dxa" w:w="70"/>
            </w:tcMar>
            <w:vAlign w:val="top"/>
          </w:tcPr>
          <w:p>
            <w:pPr>
              <w:spacing w:after="0" w:before="0" w:line="268"/>
              <w:jc w:val="both"/>
            </w:pPr>
            <w:r>
              <w:rPr>
                <w:rFonts w:ascii="Arial" w:cs="Arial" w:eastAsia="Arial" w:hAnsi="Arial"/>
                <w:b w:val="false"/>
                <w:bCs w:val="false"/>
                <w:i w:val="false"/>
                <w:iCs w:val="false"/>
                <w:color w:val="000000"/>
                <w:sz w:val="18"/>
                <w:szCs w:val="18"/>
              </w:rPr>
              <w:t xml:space="preserve">FMX-C02.docx</w:t>
            </w:r>
          </w:p>
          <w:p>
            <w:pPr>
              <w:spacing w:after="0" w:before="0" w:line="268"/>
              <w:jc w:val="both"/>
            </w:pPr>
            <w:r>
              <w:rPr>
                <w:rFonts w:ascii="Arial" w:cs="Arial" w:eastAsia="Arial" w:hAnsi="Arial"/>
                <w:b w:val="false"/>
                <w:bCs w:val="false"/>
                <w:i w:val="false"/>
                <w:iCs w:val="false"/>
                <w:color w:val="595959"/>
                <w:sz w:val="17"/>
                <w:szCs w:val="17"/>
              </w:rPr>
              <w:t xml:space="preserve">feature/c02</w:t>
            </w:r>
          </w:p>
        </w:tc>
      </w:tr>
      <w:tr>
        <w:trPr>
          <w:cantSplit/>
        </w:trPr>
        <w:tc>
          <w:tcPr>
            <w:tcW w:type="dxa" w:w="11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8"/>
                <w:szCs w:val="18"/>
              </w:rPr>
              <w:t xml:space="preserve">CUS-03</w:t>
            </w:r>
          </w:p>
        </w:tc>
        <w:tc>
          <w:tcPr>
            <w:tcW w:type="dxa" w:w="25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Mantener productos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8"/>
                <w:szCs w:val="18"/>
              </w:rPr>
              <w:t xml:space="preserve">Inventario</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Mallqui Meza</w:t>
            </w:r>
          </w:p>
        </w:tc>
        <w:tc>
          <w:tcPr>
            <w:tcW w:type="dxa" w:w="1820"/>
            <w:tcMar>
              <w:top w:type="dxa" w:w="40"/>
              <w:left w:type="dxa" w:w="70"/>
              <w:bottom w:type="dxa" w:w="40"/>
              <w:right w:type="dxa" w:w="70"/>
            </w:tcMar>
            <w:vAlign w:val="top"/>
          </w:tcPr>
          <w:p>
            <w:pPr>
              <w:spacing w:after="0" w:before="0" w:line="268"/>
              <w:jc w:val="both"/>
            </w:pPr>
            <w:r>
              <w:rPr>
                <w:rFonts w:ascii="Arial" w:cs="Arial" w:eastAsia="Arial" w:hAnsi="Arial"/>
                <w:b w:val="false"/>
                <w:bCs w:val="false"/>
                <w:i w:val="false"/>
                <w:iCs w:val="false"/>
                <w:color w:val="000000"/>
                <w:sz w:val="18"/>
                <w:szCs w:val="18"/>
              </w:rPr>
              <w:t xml:space="preserve">FMX-C03.docx</w:t>
            </w:r>
          </w:p>
          <w:p>
            <w:pPr>
              <w:spacing w:after="0" w:before="0" w:line="268"/>
              <w:jc w:val="both"/>
            </w:pPr>
            <w:r>
              <w:rPr>
                <w:rFonts w:ascii="Arial" w:cs="Arial" w:eastAsia="Arial" w:hAnsi="Arial"/>
                <w:b w:val="false"/>
                <w:bCs w:val="false"/>
                <w:i w:val="false"/>
                <w:iCs w:val="false"/>
                <w:color w:val="595959"/>
                <w:sz w:val="17"/>
                <w:szCs w:val="17"/>
              </w:rPr>
              <w:t xml:space="preserve">feature/c03</w:t>
            </w:r>
          </w:p>
        </w:tc>
      </w:tr>
      <w:tr>
        <w:trPr>
          <w:cantSplit/>
        </w:trPr>
        <w:tc>
          <w:tcPr>
            <w:tcW w:type="dxa" w:w="11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8"/>
                <w:szCs w:val="18"/>
              </w:rPr>
              <w:t xml:space="preserve">CUS-04</w:t>
            </w:r>
          </w:p>
        </w:tc>
        <w:tc>
          <w:tcPr>
            <w:tcW w:type="dxa" w:w="25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Registrar venta</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8"/>
                <w:szCs w:val="18"/>
              </w:rPr>
              <w:t xml:space="preserve">Ventas</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Cordero Alfaro</w:t>
            </w:r>
          </w:p>
        </w:tc>
        <w:tc>
          <w:tcPr>
            <w:tcW w:type="dxa" w:w="1820"/>
            <w:tcMar>
              <w:top w:type="dxa" w:w="40"/>
              <w:left w:type="dxa" w:w="70"/>
              <w:bottom w:type="dxa" w:w="40"/>
              <w:right w:type="dxa" w:w="70"/>
            </w:tcMar>
            <w:vAlign w:val="top"/>
          </w:tcPr>
          <w:p>
            <w:pPr>
              <w:spacing w:after="0" w:before="0" w:line="268"/>
              <w:jc w:val="both"/>
            </w:pPr>
            <w:r>
              <w:rPr>
                <w:rFonts w:ascii="Arial" w:cs="Arial" w:eastAsia="Arial" w:hAnsi="Arial"/>
                <w:b w:val="false"/>
                <w:bCs w:val="false"/>
                <w:i w:val="false"/>
                <w:iCs w:val="false"/>
                <w:color w:val="000000"/>
                <w:sz w:val="18"/>
                <w:szCs w:val="18"/>
              </w:rPr>
              <w:t xml:space="preserve">FMX-C04.docx</w:t>
            </w:r>
          </w:p>
          <w:p>
            <w:pPr>
              <w:spacing w:after="0" w:before="0" w:line="268"/>
              <w:jc w:val="both"/>
            </w:pPr>
            <w:r>
              <w:rPr>
                <w:rFonts w:ascii="Arial" w:cs="Arial" w:eastAsia="Arial" w:hAnsi="Arial"/>
                <w:b w:val="false"/>
                <w:bCs w:val="false"/>
                <w:i w:val="false"/>
                <w:iCs w:val="false"/>
                <w:color w:val="595959"/>
                <w:sz w:val="17"/>
                <w:szCs w:val="17"/>
              </w:rPr>
              <w:t xml:space="preserve">feature/c04</w:t>
            </w:r>
          </w:p>
        </w:tc>
      </w:tr>
      <w:tr>
        <w:trPr>
          <w:cantSplit/>
        </w:trPr>
        <w:tc>
          <w:tcPr>
            <w:tcW w:type="dxa" w:w="11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8"/>
                <w:szCs w:val="18"/>
              </w:rPr>
              <w:t xml:space="preserve">CUS-05</w:t>
            </w:r>
          </w:p>
        </w:tc>
        <w:tc>
          <w:tcPr>
            <w:tcW w:type="dxa" w:w="25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Consultar factura</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8"/>
                <w:szCs w:val="18"/>
              </w:rPr>
              <w:t xml:space="preserve">Ventas</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Cordero Alfaro</w:t>
            </w:r>
          </w:p>
        </w:tc>
        <w:tc>
          <w:tcPr>
            <w:tcW w:type="dxa" w:w="1820"/>
            <w:tcMar>
              <w:top w:type="dxa" w:w="40"/>
              <w:left w:type="dxa" w:w="70"/>
              <w:bottom w:type="dxa" w:w="40"/>
              <w:right w:type="dxa" w:w="70"/>
            </w:tcMar>
            <w:vAlign w:val="top"/>
          </w:tcPr>
          <w:p>
            <w:pPr>
              <w:spacing w:after="0" w:before="0" w:line="268"/>
              <w:jc w:val="both"/>
            </w:pPr>
            <w:r>
              <w:rPr>
                <w:rFonts w:ascii="Arial" w:cs="Arial" w:eastAsia="Arial" w:hAnsi="Arial"/>
                <w:b w:val="false"/>
                <w:bCs w:val="false"/>
                <w:i w:val="false"/>
                <w:iCs w:val="false"/>
                <w:color w:val="000000"/>
                <w:sz w:val="18"/>
                <w:szCs w:val="18"/>
              </w:rPr>
              <w:t xml:space="preserve">FMX-C05.docx</w:t>
            </w:r>
          </w:p>
          <w:p>
            <w:pPr>
              <w:spacing w:after="0" w:before="0" w:line="268"/>
              <w:jc w:val="both"/>
            </w:pPr>
            <w:r>
              <w:rPr>
                <w:rFonts w:ascii="Arial" w:cs="Arial" w:eastAsia="Arial" w:hAnsi="Arial"/>
                <w:b w:val="false"/>
                <w:bCs w:val="false"/>
                <w:i w:val="false"/>
                <w:iCs w:val="false"/>
                <w:color w:val="595959"/>
                <w:sz w:val="17"/>
                <w:szCs w:val="17"/>
              </w:rPr>
              <w:t xml:space="preserve">feature/c05</w:t>
            </w:r>
          </w:p>
        </w:tc>
      </w:tr>
      <w:tr>
        <w:trPr>
          <w:cantSplit/>
        </w:trPr>
        <w:tc>
          <w:tcPr>
            <w:tcW w:type="dxa" w:w="11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8"/>
                <w:szCs w:val="18"/>
              </w:rPr>
              <w:t xml:space="preserve">CUS-06</w:t>
            </w:r>
          </w:p>
        </w:tc>
        <w:tc>
          <w:tcPr>
            <w:tcW w:type="dxa" w:w="25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Consultar historial de ventas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8"/>
                <w:szCs w:val="18"/>
              </w:rPr>
              <w:t xml:space="preserve">Reportes</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Vásquez Sal y Rosas</w:t>
            </w:r>
          </w:p>
        </w:tc>
        <w:tc>
          <w:tcPr>
            <w:tcW w:type="dxa" w:w="1820"/>
            <w:tcMar>
              <w:top w:type="dxa" w:w="40"/>
              <w:left w:type="dxa" w:w="70"/>
              <w:bottom w:type="dxa" w:w="40"/>
              <w:right w:type="dxa" w:w="70"/>
            </w:tcMar>
            <w:vAlign w:val="top"/>
          </w:tcPr>
          <w:p>
            <w:pPr>
              <w:spacing w:after="0" w:before="0" w:line="268"/>
              <w:jc w:val="both"/>
            </w:pPr>
            <w:r>
              <w:rPr>
                <w:rFonts w:ascii="Arial" w:cs="Arial" w:eastAsia="Arial" w:hAnsi="Arial"/>
                <w:b w:val="false"/>
                <w:bCs w:val="false"/>
                <w:i w:val="false"/>
                <w:iCs w:val="false"/>
                <w:color w:val="000000"/>
                <w:sz w:val="18"/>
                <w:szCs w:val="18"/>
              </w:rPr>
              <w:t xml:space="preserve">FMX-C06.docx</w:t>
            </w:r>
          </w:p>
          <w:p>
            <w:pPr>
              <w:spacing w:after="0" w:before="0" w:line="268"/>
              <w:jc w:val="both"/>
            </w:pPr>
            <w:r>
              <w:rPr>
                <w:rFonts w:ascii="Arial" w:cs="Arial" w:eastAsia="Arial" w:hAnsi="Arial"/>
                <w:b w:val="false"/>
                <w:bCs w:val="false"/>
                <w:i w:val="false"/>
                <w:iCs w:val="false"/>
                <w:color w:val="595959"/>
                <w:sz w:val="17"/>
                <w:szCs w:val="17"/>
              </w:rPr>
              <w:t xml:space="preserve">feature/c06</w:t>
            </w:r>
          </w:p>
        </w:tc>
      </w:tr>
      <w:tr>
        <w:trPr>
          <w:cantSplit/>
        </w:trPr>
        <w:tc>
          <w:tcPr>
            <w:tcW w:type="dxa" w:w="11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8"/>
                <w:szCs w:val="18"/>
              </w:rPr>
              <w:t xml:space="preserve">CUS-07</w:t>
            </w:r>
          </w:p>
        </w:tc>
        <w:tc>
          <w:tcPr>
            <w:tcW w:type="dxa" w:w="25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Consultar movimientos de stock</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8"/>
                <w:szCs w:val="18"/>
              </w:rPr>
              <w:t xml:space="preserve">Inventario</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Vásquez Sal y Rosas</w:t>
            </w:r>
          </w:p>
        </w:tc>
        <w:tc>
          <w:tcPr>
            <w:tcW w:type="dxa" w:w="1820"/>
            <w:tcMar>
              <w:top w:type="dxa" w:w="40"/>
              <w:left w:type="dxa" w:w="70"/>
              <w:bottom w:type="dxa" w:w="40"/>
              <w:right w:type="dxa" w:w="70"/>
            </w:tcMar>
            <w:vAlign w:val="top"/>
          </w:tcPr>
          <w:p>
            <w:pPr>
              <w:spacing w:after="0" w:before="0" w:line="268"/>
              <w:jc w:val="both"/>
            </w:pPr>
            <w:r>
              <w:rPr>
                <w:rFonts w:ascii="Arial" w:cs="Arial" w:eastAsia="Arial" w:hAnsi="Arial"/>
                <w:b w:val="false"/>
                <w:bCs w:val="false"/>
                <w:i w:val="false"/>
                <w:iCs w:val="false"/>
                <w:color w:val="000000"/>
                <w:sz w:val="18"/>
                <w:szCs w:val="18"/>
              </w:rPr>
              <w:t xml:space="preserve">FMX-C07.docx</w:t>
            </w:r>
          </w:p>
          <w:p>
            <w:pPr>
              <w:spacing w:after="0" w:before="0" w:line="268"/>
              <w:jc w:val="both"/>
            </w:pPr>
            <w:r>
              <w:rPr>
                <w:rFonts w:ascii="Arial" w:cs="Arial" w:eastAsia="Arial" w:hAnsi="Arial"/>
                <w:b w:val="false"/>
                <w:bCs w:val="false"/>
                <w:i w:val="false"/>
                <w:iCs w:val="false"/>
                <w:color w:val="595959"/>
                <w:sz w:val="17"/>
                <w:szCs w:val="17"/>
              </w:rPr>
              <w:t xml:space="preserve">feature/c07</w:t>
            </w:r>
          </w:p>
        </w:tc>
      </w:tr>
      <w:tr>
        <w:trPr>
          <w:cantSplit/>
        </w:trPr>
        <w:tc>
          <w:tcPr>
            <w:tcW w:type="dxa" w:w="11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8"/>
                <w:szCs w:val="18"/>
              </w:rPr>
              <w:t xml:space="preserve">CUS-08</w:t>
            </w:r>
          </w:p>
        </w:tc>
        <w:tc>
          <w:tcPr>
            <w:tcW w:type="dxa" w:w="25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Mantener usuarios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8"/>
                <w:szCs w:val="18"/>
              </w:rPr>
              <w:t xml:space="preserve">Administración</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Roman Hurtado</w:t>
            </w:r>
          </w:p>
        </w:tc>
        <w:tc>
          <w:tcPr>
            <w:tcW w:type="dxa" w:w="1820"/>
            <w:tcMar>
              <w:top w:type="dxa" w:w="40"/>
              <w:left w:type="dxa" w:w="70"/>
              <w:bottom w:type="dxa" w:w="40"/>
              <w:right w:type="dxa" w:w="70"/>
            </w:tcMar>
            <w:vAlign w:val="top"/>
          </w:tcPr>
          <w:p>
            <w:pPr>
              <w:spacing w:after="0" w:before="0" w:line="268"/>
              <w:jc w:val="both"/>
            </w:pPr>
            <w:r>
              <w:rPr>
                <w:rFonts w:ascii="Arial" w:cs="Arial" w:eastAsia="Arial" w:hAnsi="Arial"/>
                <w:b w:val="false"/>
                <w:bCs w:val="false"/>
                <w:i w:val="false"/>
                <w:iCs w:val="false"/>
                <w:color w:val="000000"/>
                <w:sz w:val="18"/>
                <w:szCs w:val="18"/>
              </w:rPr>
              <w:t xml:space="preserve">FMX-C08.docx</w:t>
            </w:r>
          </w:p>
          <w:p>
            <w:pPr>
              <w:spacing w:after="0" w:before="0" w:line="268"/>
              <w:jc w:val="both"/>
            </w:pPr>
            <w:r>
              <w:rPr>
                <w:rFonts w:ascii="Arial" w:cs="Arial" w:eastAsia="Arial" w:hAnsi="Arial"/>
                <w:b w:val="false"/>
                <w:bCs w:val="false"/>
                <w:i w:val="false"/>
                <w:iCs w:val="false"/>
                <w:color w:val="595959"/>
                <w:sz w:val="17"/>
                <w:szCs w:val="17"/>
              </w:rPr>
              <w:t xml:space="preserve">feature/c08</w:t>
            </w:r>
          </w:p>
        </w:tc>
      </w:tr>
      <w:tr>
        <w:trPr>
          <w:cantSplit/>
        </w:trPr>
        <w:tc>
          <w:tcPr>
            <w:tcW w:type="dxa" w:w="11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8"/>
                <w:szCs w:val="18"/>
              </w:rPr>
              <w:t xml:space="preserve">CUS-09</w:t>
            </w:r>
          </w:p>
        </w:tc>
        <w:tc>
          <w:tcPr>
            <w:tcW w:type="dxa" w:w="25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Generar reportes de ventas</w:t>
            </w:r>
          </w:p>
        </w:tc>
        <w:tc>
          <w:tcPr>
            <w:tcW w:type="dxa" w:w="15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8"/>
                <w:szCs w:val="18"/>
              </w:rPr>
              <w:t xml:space="preserve">Reportes</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8"/>
                <w:szCs w:val="18"/>
              </w:rPr>
              <w:t xml:space="preserve">Roman Hurtado</w:t>
            </w:r>
          </w:p>
        </w:tc>
        <w:tc>
          <w:tcPr>
            <w:tcW w:type="dxa" w:w="1820"/>
            <w:tcMar>
              <w:top w:type="dxa" w:w="40"/>
              <w:left w:type="dxa" w:w="70"/>
              <w:bottom w:type="dxa" w:w="40"/>
              <w:right w:type="dxa" w:w="70"/>
            </w:tcMar>
            <w:vAlign w:val="top"/>
          </w:tcPr>
          <w:p>
            <w:pPr>
              <w:spacing w:after="0" w:before="0" w:line="268"/>
              <w:jc w:val="both"/>
            </w:pPr>
            <w:r>
              <w:rPr>
                <w:rFonts w:ascii="Arial" w:cs="Arial" w:eastAsia="Arial" w:hAnsi="Arial"/>
                <w:b w:val="false"/>
                <w:bCs w:val="false"/>
                <w:i w:val="false"/>
                <w:iCs w:val="false"/>
                <w:color w:val="000000"/>
                <w:sz w:val="18"/>
                <w:szCs w:val="18"/>
              </w:rPr>
              <w:t xml:space="preserve">FMX-C09.docx</w:t>
            </w:r>
          </w:p>
          <w:p>
            <w:pPr>
              <w:spacing w:after="0" w:before="0" w:line="268"/>
              <w:jc w:val="both"/>
            </w:pPr>
            <w:r>
              <w:rPr>
                <w:rFonts w:ascii="Arial" w:cs="Arial" w:eastAsia="Arial" w:hAnsi="Arial"/>
                <w:b w:val="false"/>
                <w:bCs w:val="false"/>
                <w:i w:val="false"/>
                <w:iCs w:val="false"/>
                <w:color w:val="595959"/>
                <w:sz w:val="17"/>
                <w:szCs w:val="17"/>
              </w:rPr>
              <w:t xml:space="preserve">feature/c09</w:t>
            </w:r>
          </w:p>
        </w:tc>
      </w:tr>
    </w:tbl>
    <w:p>
      <w:r>
        <w:br w:type="page"/>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6.2	</w:t>
      </w:r>
      <w:r>
        <w:rPr>
          <w:rFonts w:ascii="Arial" w:cs="Arial" w:eastAsia="Arial" w:hAnsi="Arial"/>
          <w:b/>
          <w:bCs/>
          <w:i w:val="false"/>
          <w:iCs w:val="false"/>
          <w:color w:val="000000"/>
          <w:sz w:val="22"/>
          <w:szCs w:val="22"/>
        </w:rPr>
        <w:t xml:space="preserve">Caso de uso ↔ casos de prueba</w:t>
      </w:r>
    </w:p>
    <w:p>
      <w:pPr>
        <w:spacing w:after="120" w:before="0" w:line="268"/>
        <w:ind w:left="740"/>
        <w:jc w:val="both"/>
      </w:pPr>
      <w:r>
        <w:rPr>
          <w:rFonts w:ascii="Arial" w:cs="Arial" w:eastAsia="Arial" w:hAnsi="Arial"/>
          <w:b w:val="false"/>
          <w:bCs w:val="false"/>
          <w:i w:val="false"/>
          <w:iCs w:val="false"/>
          <w:color w:val="000000"/>
          <w:sz w:val="20"/>
          <w:szCs w:val="20"/>
        </w:rPr>
        <w:t xml:space="preserve">Los 29 casos de prueba previstos para el Hito 3, con el caso de uso que verifican. Cada caso de uso cuenta con al menos dos escenarios, y los de mayor complejidad con cuatro o cinco.</w:t>
      </w:r>
    </w:p>
    <w:p>
      <w:pPr>
        <w:spacing w:after="60"/>
      </w:pPr>
      <w:r>
        <w:rPr>
          <w:rFonts w:ascii="Arial" w:cs="Arial" w:eastAsia="Arial" w:hAnsi="Arial"/>
          <w:b w:val="false"/>
          <w:bCs w:val="false"/>
          <w:i w:val="false"/>
          <w:iCs w:val="false"/>
          <w:color w:val="000000"/>
          <w:sz w:val="20"/>
          <w:szCs w:val="20"/>
        </w:rPr>
        <w:t xml:space="preserve"/>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900"/>
        <w:gridCol w:w="1200"/>
        <w:gridCol w:w="3520"/>
        <w:gridCol w:w="1300"/>
        <w:gridCol w:w="2100"/>
      </w:tblGrid>
      <w:tr>
        <w:trPr>
          <w:tblHeader/>
        </w:trPr>
        <w:tc>
          <w:tcPr>
            <w:tcW w:type="dxa" w:w="9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7"/>
                <w:szCs w:val="17"/>
              </w:rPr>
              <w:t xml:space="preserve">ID</w:t>
            </w:r>
          </w:p>
        </w:tc>
        <w:tc>
          <w:tcPr>
            <w:tcW w:type="dxa" w:w="12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7"/>
                <w:szCs w:val="17"/>
              </w:rPr>
              <w:t xml:space="preserve">Caso de uso</w:t>
            </w:r>
          </w:p>
        </w:tc>
        <w:tc>
          <w:tcPr>
            <w:tcW w:type="dxa" w:w="352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7"/>
                <w:szCs w:val="17"/>
              </w:rPr>
              <w:t xml:space="preserve">Escenario de prueba</w:t>
            </w:r>
          </w:p>
        </w:tc>
        <w:tc>
          <w:tcPr>
            <w:tcW w:type="dxa" w:w="13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7"/>
                <w:szCs w:val="17"/>
              </w:rPr>
              <w:t xml:space="preserve">Tipo</w:t>
            </w:r>
          </w:p>
        </w:tc>
        <w:tc>
          <w:tcPr>
            <w:tcW w:type="dxa" w:w="21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7"/>
                <w:szCs w:val="17"/>
              </w:rPr>
              <w:t xml:space="preserve">Resultado esperado</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CP-01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CUS-01</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Ingreso con credenciales válidas</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 usuario accede y el menú corresponde a su rol.</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CP-02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CUS-01</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Ingreso con credenciales incorrectas</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Se rechaza el acceso con mensaje genérico, sin revelar qué campo falló.</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CP-03</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CUS-01</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Bloqueo tras tres intentos fallidos</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Seguridad</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 cuarto intento se rechaza sin validar credenciales.</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CP-04</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CUS-01</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Acceso denegado por rol a una ruta de administración</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Seguridad</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Un vendedor recibe error 403 al invocar la ruta directamente.</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CP-05</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CUS-02</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Cierre de sesión e invalidación en el servidor</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Seguridad</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Tras salir, ninguna ruta protegida responde sin autenticarse de nuevo.</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CP-06</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CUS-02</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Expiración de la sesión por inactividad</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Seguridad</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 los 30 minutos sin actividad la sesión se cierra automáticamente.</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CP-07</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CUS-03</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Alta de producto con movimiento de entrada</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 producto queda activo y se registra su movimiento de stock.</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CP-08</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CUS-03</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Baja lógica de un producto con ventas asociadas</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 producto se desactiva y conserva su historial.</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CP-09</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CUS-03</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Rechazo de producto duplicado</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No se admite otro producto activo con el mismo nombre y proveedor.</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CP-10</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CUS-03</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Alerta al quedar por debajo del stock mínimo</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 producto aparece marcado como stock bajo.</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CP-11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CUS-04</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Venta de varios productos con cálculo de IGV</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Subtotal, IGV del 18 % y total correctos, redondeados a dos decimales.</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CP-12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CUS-04</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Rechazo por stock insuficiente</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La venta no se registra y se indica la cantidad máxima disponible.</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CP-13</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CUS-04</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Reversión completa ante fallo al emitir la factura</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Integración</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No queda venta, ni detalle, ni descuento de stock.</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CP-14</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CUS-04</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Venta simultánea de la última unidad</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Concurrencia</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Solo una venta prospera y el stock final nunca queda negativo.</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CP-15</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CUS-04</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Numeración correlativa de facturas</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Integración</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Los números son consecutivos, únicos y sin saltos.</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CP-16</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CUS-05</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Visualización e impresión de la factura</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La factura muestra encabezado, detalle e importes, y es imprimible.</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CP-17</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CUS-05</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Precio congelado tras un cambio de tarifa</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La factura conserva el precio cobrado en el momento de la venta.</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CP-18</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CUS-06</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Alcance del historial según el rol</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Seguridad</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 vendedor solo visualiza las ventas que él registró.</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CP-19</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CUS-06</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Filtrado por rango de fechas y vendedor</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 listado refleja únicamente las ventas que cumplen el filtro.</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CP-20</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CUS-07</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Trazabilidad de un movimiento de venta</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Integración</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Cada venta genera su movimiento de salida con producto, cantidad y responsable.</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CP-21</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CUS-07</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Filtrado de la bitácora por tipo y fecha</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Se listan solo los movimientos que cumplen los criterios.</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CP-22</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CUS-08</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Alta de usuario con contraseña hasheada</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Seguridad</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La contraseña se almacena como hash, nunca en texto plano.</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CP-23</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CUS-08</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Rechazo de nombre de usuario duplicado</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No se admiten dos usuarios con el mismo nombre.</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CP-24</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CUS-08</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Impedimento de autodesactivación</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 administrador no puede desactivar ni degradar su propia cuenta.</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CP-25</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CUS-08</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Baja lógica sin pérdida de historial</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Integración</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 usuario desactivado no accede, pero sigue asociado a sus ventas.</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CP-26</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CUS-09</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Cálculo de indicadores del periodo</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Ingresos, ganancia, número de ventas y ticket promedio correctos.</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CP-27</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CUS-09</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Ganancia calculada con costo congelado</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 margen usa el precio y el costo vigentes al momento de la venta.</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CP-28</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CUS-09</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Gráficos de rotación de productos</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Funcional</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Se muestran los cinco más y los cinco menos vendidos, excluyendo los sin ventas.</w:t>
            </w:r>
          </w:p>
        </w:tc>
      </w:tr>
      <w:tr>
        <w:trPr>
          <w:cantSplit/>
        </w:trPr>
        <w:tc>
          <w:tcPr>
            <w:tcW w:type="dxa" w:w="9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6"/>
                <w:szCs w:val="16"/>
              </w:rPr>
              <w:t xml:space="preserve">CP-29</w:t>
            </w:r>
          </w:p>
        </w:tc>
        <w:tc>
          <w:tcPr>
            <w:tcW w:type="dxa" w:w="12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CUS-09</w:t>
            </w:r>
          </w:p>
        </w:tc>
        <w:tc>
          <w:tcPr>
            <w:tcW w:type="dxa" w:w="35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Reporte mensual dentro del límite de tiempo</w:t>
            </w:r>
          </w:p>
        </w:tc>
        <w:tc>
          <w:tcPr>
            <w:tcW w:type="dxa" w:w="1300"/>
            <w:tcMar>
              <w:top w:type="dxa" w:w="40"/>
              <w:left w:type="dxa" w:w="70"/>
              <w:bottom w:type="dxa" w:w="40"/>
              <w:right w:type="dxa" w:w="70"/>
            </w:tcMar>
            <w:vAlign w:val="center"/>
          </w:tcPr>
          <w:p>
            <w:pPr>
              <w:spacing w:after="0" w:before="0" w:line="268"/>
              <w:jc w:val="center"/>
            </w:pPr>
            <w:r>
              <w:rPr>
                <w:rFonts w:ascii="Arial" w:cs="Arial" w:eastAsia="Arial" w:hAnsi="Arial"/>
                <w:b w:val="false"/>
                <w:bCs w:val="false"/>
                <w:i w:val="false"/>
                <w:iCs w:val="false"/>
                <w:color w:val="000000"/>
                <w:sz w:val="16"/>
                <w:szCs w:val="16"/>
              </w:rPr>
              <w:t xml:space="preserve">Rendimiento</w:t>
            </w:r>
          </w:p>
        </w:tc>
        <w:tc>
          <w:tcPr>
            <w:tcW w:type="dxa" w:w="210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6"/>
                <w:szCs w:val="16"/>
              </w:rPr>
              <w:t xml:space="preserve">El reporte de un mes se genera en menos de 5 segundos.</w:t>
            </w:r>
          </w:p>
        </w:tc>
      </w:tr>
    </w:tbl>
    <w:p>
      <w:pPr>
        <w:pStyle w:val="Heading1"/>
        <w:tabs>
          <w:tab w:val="left" w:pos="640"/>
        </w:tabs>
        <w:spacing w:after="150" w:before="320"/>
      </w:pPr>
      <w:r>
        <w:rPr>
          <w:rFonts w:ascii="Arial" w:cs="Arial" w:eastAsia="Arial" w:hAnsi="Arial"/>
          <w:b/>
          <w:bCs/>
          <w:i w:val="false"/>
          <w:iCs w:val="false"/>
          <w:color w:val="000000"/>
          <w:sz w:val="26"/>
          <w:szCs w:val="26"/>
        </w:rPr>
        <w:t xml:space="preserve">7.	</w:t>
      </w:r>
      <w:r>
        <w:rPr>
          <w:rFonts w:ascii="Arial" w:cs="Arial" w:eastAsia="Arial" w:hAnsi="Arial"/>
          <w:b/>
          <w:bCs/>
          <w:i w:val="false"/>
          <w:iCs w:val="false"/>
          <w:color w:val="000000"/>
          <w:sz w:val="26"/>
          <w:szCs w:val="26"/>
        </w:rPr>
        <w:t xml:space="preserve">Análisis de cobertura</w:t>
      </w:r>
    </w:p>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7.1	</w:t>
      </w:r>
      <w:r>
        <w:rPr>
          <w:rFonts w:ascii="Arial" w:cs="Arial" w:eastAsia="Arial" w:hAnsi="Arial"/>
          <w:b/>
          <w:bCs/>
          <w:i w:val="false"/>
          <w:iCs w:val="false"/>
          <w:color w:val="000000"/>
          <w:sz w:val="22"/>
          <w:szCs w:val="22"/>
        </w:rPr>
        <w:t xml:space="preserve">Indicadores</w:t>
      </w:r>
    </w:p>
    <w:p>
      <w:pPr>
        <w:spacing w:after="120" w:before="0" w:line="268"/>
        <w:ind w:left="740"/>
        <w:jc w:val="both"/>
      </w:pPr>
      <w:r>
        <w:rPr>
          <w:rFonts w:ascii="Arial" w:cs="Arial" w:eastAsia="Arial" w:hAnsi="Arial"/>
          <w:b w:val="false"/>
          <w:bCs w:val="false"/>
          <w:i w:val="false"/>
          <w:iCs w:val="false"/>
          <w:color w:val="000000"/>
          <w:sz w:val="20"/>
          <w:szCs w:val="20"/>
        </w:rPr>
        <w:t xml:space="preserve">Los valores provienen de las fórmulas de la hoja «Cobertura» del archivo FMX-MTZ.xlsx, calculadas sobre las matrices. Se reproducen aquí con el estado a la fecha de consolidación.</w:t>
      </w:r>
    </w:p>
    <w:p>
      <w:pPr>
        <w:spacing w:after="60"/>
      </w:pPr>
      <w:r>
        <w:rPr>
          <w:rFonts w:ascii="Arial" w:cs="Arial" w:eastAsia="Arial" w:hAnsi="Arial"/>
          <w:b w:val="false"/>
          <w:bCs w:val="false"/>
          <w:i w:val="false"/>
          <w:iCs w:val="false"/>
          <w:color w:val="000000"/>
          <w:sz w:val="20"/>
          <w:szCs w:val="20"/>
        </w:rPr>
        <w:t xml:space="preserve"/>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4600"/>
        <w:gridCol w:w="1400"/>
        <w:gridCol w:w="3020"/>
      </w:tblGrid>
      <w:tr>
        <w:trPr>
          <w:tblHeader/>
        </w:trPr>
        <w:tc>
          <w:tcPr>
            <w:tcW w:type="dxa" w:w="46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9"/>
                <w:szCs w:val="19"/>
              </w:rPr>
              <w:t xml:space="preserve">Indicador</w:t>
            </w:r>
          </w:p>
        </w:tc>
        <w:tc>
          <w:tcPr>
            <w:tcW w:type="dxa" w:w="140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9"/>
                <w:szCs w:val="19"/>
              </w:rPr>
              <w:t xml:space="preserve">Valor</w:t>
            </w:r>
          </w:p>
        </w:tc>
        <w:tc>
          <w:tcPr>
            <w:tcW w:type="dxa" w:w="302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19"/>
                <w:szCs w:val="19"/>
              </w:rPr>
              <w:t xml:space="preserve">Lectura</w:t>
            </w:r>
          </w:p>
        </w:tc>
      </w:tr>
      <w:tr>
        <w:trPr>
          <w:cantSplit/>
        </w:trPr>
        <w:tc>
          <w:tcPr>
            <w:tcW w:type="dxa" w:w="4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9"/>
                <w:szCs w:val="19"/>
              </w:rPr>
              <w:t xml:space="preserve">Requisitos funcionales especificados</w:t>
            </w:r>
          </w:p>
        </w:tc>
        <w:tc>
          <w:tcPr>
            <w:tcW w:type="dxa" w:w="14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9"/>
                <w:szCs w:val="19"/>
              </w:rPr>
              <w:t xml:space="preserve">29</w:t>
            </w:r>
          </w:p>
        </w:tc>
        <w:tc>
          <w:tcPr>
            <w:tcW w:type="dxa" w:w="30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Total declarado en la documentación.</w:t>
            </w:r>
          </w:p>
        </w:tc>
      </w:tr>
      <w:tr>
        <w:trPr>
          <w:cantSplit/>
        </w:trPr>
        <w:tc>
          <w:tcPr>
            <w:tcW w:type="dxa" w:w="4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9"/>
                <w:szCs w:val="19"/>
              </w:rPr>
              <w:t xml:space="preserve">Requisitos funcionales con caso de uso</w:t>
            </w:r>
          </w:p>
        </w:tc>
        <w:tc>
          <w:tcPr>
            <w:tcW w:type="dxa" w:w="14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9"/>
                <w:szCs w:val="19"/>
              </w:rPr>
              <w:t xml:space="preserve">29</w:t>
            </w:r>
          </w:p>
        </w:tc>
        <w:tc>
          <w:tcPr>
            <w:tcW w:type="dxa" w:w="30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Todos tienen realización principal.</w:t>
            </w:r>
          </w:p>
        </w:tc>
      </w:tr>
      <w:tr>
        <w:trPr>
          <w:cantSplit/>
        </w:trPr>
        <w:tc>
          <w:tcPr>
            <w:tcW w:type="dxa" w:w="4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9"/>
                <w:szCs w:val="19"/>
              </w:rPr>
              <w:t xml:space="preserve">Requisitos funcionales huérfanos</w:t>
            </w:r>
          </w:p>
        </w:tc>
        <w:tc>
          <w:tcPr>
            <w:tcW w:type="dxa" w:w="14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9"/>
                <w:szCs w:val="19"/>
              </w:rPr>
              <w:t xml:space="preserve">0</w:t>
            </w:r>
          </w:p>
        </w:tc>
        <w:tc>
          <w:tcPr>
            <w:tcW w:type="dxa" w:w="30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No hay funcionalidad pedida sin construir.</w:t>
            </w:r>
          </w:p>
        </w:tc>
      </w:tr>
      <w:tr>
        <w:trPr>
          <w:cantSplit/>
        </w:trPr>
        <w:tc>
          <w:tcPr>
            <w:tcW w:type="dxa" w:w="4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9"/>
                <w:szCs w:val="19"/>
              </w:rPr>
              <w:t xml:space="preserve">Cobertura de requisitos funcionales</w:t>
            </w:r>
          </w:p>
        </w:tc>
        <w:tc>
          <w:tcPr>
            <w:tcW w:type="dxa" w:w="14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9"/>
                <w:szCs w:val="19"/>
              </w:rPr>
              <w:t xml:space="preserve">100 %</w:t>
            </w:r>
          </w:p>
        </w:tc>
        <w:tc>
          <w:tcPr>
            <w:tcW w:type="dxa" w:w="30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Cobertura hacia adelante completa.</w:t>
            </w:r>
          </w:p>
        </w:tc>
      </w:tr>
      <w:tr>
        <w:trPr>
          <w:cantSplit/>
        </w:trPr>
        <w:tc>
          <w:tcPr>
            <w:tcW w:type="dxa" w:w="4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9"/>
                <w:szCs w:val="19"/>
              </w:rPr>
              <w:t xml:space="preserve">Casos de uso especificados</w:t>
            </w:r>
          </w:p>
        </w:tc>
        <w:tc>
          <w:tcPr>
            <w:tcW w:type="dxa" w:w="14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9"/>
                <w:szCs w:val="19"/>
              </w:rPr>
              <w:t xml:space="preserve">9</w:t>
            </w:r>
          </w:p>
        </w:tc>
        <w:tc>
          <w:tcPr>
            <w:tcW w:type="dxa" w:w="30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CUS-01 a CUS-09.</w:t>
            </w:r>
          </w:p>
        </w:tc>
      </w:tr>
      <w:tr>
        <w:trPr>
          <w:cantSplit/>
        </w:trPr>
        <w:tc>
          <w:tcPr>
            <w:tcW w:type="dxa" w:w="4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9"/>
                <w:szCs w:val="19"/>
              </w:rPr>
              <w:t xml:space="preserve">Casos de uso sin requisito asociado</w:t>
            </w:r>
          </w:p>
        </w:tc>
        <w:tc>
          <w:tcPr>
            <w:tcW w:type="dxa" w:w="14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9"/>
                <w:szCs w:val="19"/>
              </w:rPr>
              <w:t xml:space="preserve">0</w:t>
            </w:r>
          </w:p>
        </w:tc>
        <w:tc>
          <w:tcPr>
            <w:tcW w:type="dxa" w:w="30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No hay funcionalidad sin pedir.</w:t>
            </w:r>
          </w:p>
        </w:tc>
      </w:tr>
      <w:tr>
        <w:trPr>
          <w:cantSplit/>
        </w:trPr>
        <w:tc>
          <w:tcPr>
            <w:tcW w:type="dxa" w:w="4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9"/>
                <w:szCs w:val="19"/>
              </w:rPr>
              <w:t xml:space="preserve">Requisitos no funcionales especificados</w:t>
            </w:r>
          </w:p>
        </w:tc>
        <w:tc>
          <w:tcPr>
            <w:tcW w:type="dxa" w:w="14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9"/>
                <w:szCs w:val="19"/>
              </w:rPr>
              <w:t xml:space="preserve">19</w:t>
            </w:r>
          </w:p>
        </w:tc>
        <w:tc>
          <w:tcPr>
            <w:tcW w:type="dxa" w:w="30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Total declarado en la documentación.</w:t>
            </w:r>
          </w:p>
        </w:tc>
      </w:tr>
      <w:tr>
        <w:trPr>
          <w:cantSplit/>
        </w:trPr>
        <w:tc>
          <w:tcPr>
            <w:tcW w:type="dxa" w:w="4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9"/>
                <w:szCs w:val="19"/>
              </w:rPr>
              <w:t xml:space="preserve">Requisitos no funcionales transversales</w:t>
            </w:r>
          </w:p>
        </w:tc>
        <w:tc>
          <w:tcPr>
            <w:tcW w:type="dxa" w:w="14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9"/>
                <w:szCs w:val="19"/>
              </w:rPr>
              <w:t xml:space="preserve">10</w:t>
            </w:r>
          </w:p>
        </w:tc>
        <w:tc>
          <w:tcPr>
            <w:tcW w:type="dxa" w:w="30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Restringen a los nueve casos de uso por igual.</w:t>
            </w:r>
          </w:p>
        </w:tc>
      </w:tr>
      <w:tr>
        <w:trPr>
          <w:cantSplit/>
        </w:trPr>
        <w:tc>
          <w:tcPr>
            <w:tcW w:type="dxa" w:w="4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9"/>
                <w:szCs w:val="19"/>
              </w:rPr>
              <w:t xml:space="preserve">Procesos de negocio modelados</w:t>
            </w:r>
          </w:p>
        </w:tc>
        <w:tc>
          <w:tcPr>
            <w:tcW w:type="dxa" w:w="14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9"/>
                <w:szCs w:val="19"/>
              </w:rPr>
              <w:t xml:space="preserve">3</w:t>
            </w:r>
          </w:p>
        </w:tc>
        <w:tc>
          <w:tcPr>
            <w:tcW w:type="dxa" w:w="30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PN1, PN2 y PN3 del Documento de Negocio.</w:t>
            </w:r>
          </w:p>
        </w:tc>
      </w:tr>
      <w:tr>
        <w:trPr>
          <w:cantSplit/>
        </w:trPr>
        <w:tc>
          <w:tcPr>
            <w:tcW w:type="dxa" w:w="4600"/>
            <w:tcMar>
              <w:top w:type="dxa" w:w="40"/>
              <w:left w:type="dxa" w:w="70"/>
              <w:bottom w:type="dxa" w:w="40"/>
              <w:right w:type="dxa" w:w="70"/>
            </w:tcMar>
            <w:vAlign w:val="center"/>
          </w:tcPr>
          <w:p>
            <w:pPr>
              <w:spacing w:after="0" w:before="0" w:line="268"/>
              <w:jc w:val="left"/>
            </w:pPr>
            <w:r>
              <w:rPr>
                <w:rFonts w:ascii="Arial" w:cs="Arial" w:eastAsia="Arial" w:hAnsi="Arial"/>
                <w:b w:val="false"/>
                <w:bCs w:val="false"/>
                <w:i w:val="false"/>
                <w:iCs w:val="false"/>
                <w:color w:val="000000"/>
                <w:sz w:val="19"/>
                <w:szCs w:val="19"/>
              </w:rPr>
              <w:t xml:space="preserve">Casos de prueba previstos</w:t>
            </w:r>
          </w:p>
        </w:tc>
        <w:tc>
          <w:tcPr>
            <w:tcW w:type="dxa" w:w="1400"/>
            <w:tcMar>
              <w:top w:type="dxa" w:w="40"/>
              <w:left w:type="dxa" w:w="70"/>
              <w:bottom w:type="dxa" w:w="40"/>
              <w:right w:type="dxa" w:w="70"/>
            </w:tcMar>
            <w:vAlign w:val="center"/>
          </w:tcPr>
          <w:p>
            <w:pPr>
              <w:spacing w:after="0" w:before="0" w:line="268"/>
              <w:jc w:val="center"/>
            </w:pPr>
            <w:r>
              <w:rPr>
                <w:rFonts w:ascii="Arial" w:cs="Arial" w:eastAsia="Arial" w:hAnsi="Arial"/>
                <w:b/>
                <w:bCs/>
                <w:i w:val="false"/>
                <w:iCs w:val="false"/>
                <w:color w:val="000000"/>
                <w:sz w:val="19"/>
                <w:szCs w:val="19"/>
              </w:rPr>
              <w:t xml:space="preserve">29</w:t>
            </w:r>
          </w:p>
        </w:tc>
        <w:tc>
          <w:tcPr>
            <w:tcW w:type="dxa" w:w="3020"/>
            <w:tcMar>
              <w:top w:type="dxa" w:w="40"/>
              <w:left w:type="dxa" w:w="70"/>
              <w:bottom w:type="dxa" w:w="40"/>
              <w:right w:type="dxa" w:w="70"/>
            </w:tcMar>
            <w:vAlign w:val="top"/>
          </w:tcPr>
          <w:p>
            <w:pPr>
              <w:spacing w:after="0" w:before="0" w:line="268"/>
              <w:jc w:val="left"/>
            </w:pPr>
            <w:r>
              <w:rPr>
                <w:rFonts w:ascii="Arial" w:cs="Arial" w:eastAsia="Arial" w:hAnsi="Arial"/>
                <w:b w:val="false"/>
                <w:bCs w:val="false"/>
                <w:i w:val="false"/>
                <w:iCs w:val="false"/>
                <w:color w:val="000000"/>
                <w:sz w:val="19"/>
                <w:szCs w:val="19"/>
              </w:rPr>
              <w:t xml:space="preserve">Al menos dos por caso de uso.</w:t>
            </w:r>
          </w:p>
        </w:tc>
      </w:tr>
    </w:tbl>
    <w:p>
      <w:pPr>
        <w:pStyle w:val="Heading2"/>
        <w:tabs>
          <w:tab w:val="left" w:pos="1000"/>
        </w:tabs>
        <w:spacing w:after="110" w:before="220"/>
        <w:ind w:left="340"/>
      </w:pPr>
      <w:r>
        <w:rPr>
          <w:rFonts w:ascii="Arial" w:cs="Arial" w:eastAsia="Arial" w:hAnsi="Arial"/>
          <w:b/>
          <w:bCs/>
          <w:i w:val="false"/>
          <w:iCs w:val="false"/>
          <w:color w:val="000000"/>
          <w:sz w:val="22"/>
          <w:szCs w:val="22"/>
        </w:rPr>
        <w:t xml:space="preserve">7.2	</w:t>
      </w:r>
      <w:r>
        <w:rPr>
          <w:rFonts w:ascii="Arial" w:cs="Arial" w:eastAsia="Arial" w:hAnsi="Arial"/>
          <w:b/>
          <w:bCs/>
          <w:i w:val="false"/>
          <w:iCs w:val="false"/>
          <w:color w:val="000000"/>
          <w:sz w:val="22"/>
          <w:szCs w:val="22"/>
        </w:rPr>
        <w:t xml:space="preserve">Hallazgos</w:t>
      </w:r>
    </w:p>
    <w:p>
      <w:pPr>
        <w:spacing w:after="120" w:before="0" w:line="268"/>
        <w:ind w:left="740"/>
        <w:jc w:val="both"/>
      </w:pPr>
      <w:r>
        <w:rPr>
          <w:rFonts w:ascii="Arial" w:cs="Arial" w:eastAsia="Arial" w:hAnsi="Arial"/>
          <w:b w:val="false"/>
          <w:bCs w:val="false"/>
          <w:i w:val="false"/>
          <w:iCs w:val="false"/>
          <w:color w:val="000000"/>
          <w:sz w:val="20"/>
          <w:szCs w:val="20"/>
        </w:rPr>
        <w:t xml:space="preserve">La cobertura está completa en ambos sentidos, pero la matriz deja ver tres cosas que conviene tener presentes:</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El reparto de requisitos es desigual y se concentra en dos casos de uso. CUS-03 Mantener productos realiza 8 requisitos y CUS-04 Registrar venta realiza 5, mientras que CUS-02, CUS-05 y CUS-07 realizan uno cada uno. No es un defecto de la especificación —mantener el catálogo y registrar una venta son las operaciones más ricas del sistema—, pero sí tiene una consecuencia de planificación: el esfuerzo de construcción y de prueba se concentra en Mallqui Meza y en Cordero Alfaro, y conviene que ambos arranquen su desarrollo antes que el resto.</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RF-03, el control de acceso por roles, es el requisito con más participaciones de soporte: lo realiza CUS-01, pero condiciona a los otros siete casos de uso que exponen rutas protegidas. Cualquier cambio en la política de roles obliga a volver a probar esos siete, no solo el inicio de sesión.</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RF-09 y RF-20 se solapan parcialmente: ambos hablan de la alerta de stock mínimo. Se resolvió asignando RF-09 a CUS-03, donde se define el mínimo y se destaca el producto en el catálogo, y RF-20 a CUS-07, donde el administrador consulta el indicador junto con la bitácora, dejando una participación de soporte cruzada entre ambos. Conviene confirmar este reparto con el cliente antes de iniciar la construcción, porque si él los entiende como un único requisito habría que fusionarlos.</w:t>
      </w:r>
    </w:p>
    <w:p>
      <w:pPr>
        <w:spacing w:after="120" w:before="0" w:line="268"/>
        <w:ind w:left="740"/>
        <w:jc w:val="both"/>
      </w:pPr>
      <w:r>
        <w:rPr>
          <w:rFonts w:ascii="Arial" w:cs="Arial" w:eastAsia="Arial" w:hAnsi="Arial"/>
          <w:b w:val="false"/>
          <w:bCs w:val="false"/>
          <w:i w:val="false"/>
          <w:iCs w:val="false"/>
          <w:color w:val="000000"/>
          <w:sz w:val="20"/>
          <w:szCs w:val="20"/>
        </w:rPr>
        <w:t xml:space="preserve">Conviene además recordar que RNF-11, el diseño responsivo, figura como opcional en la documentación original, y que RNF-17, el respaldo de la base de datos, es una recomendación y no una obligación de la primera versión. Ambos aparecen en la matriz como transversales, pero no deberían exigirse como criterio de cierre del Hito 3.</w:t>
      </w:r>
    </w:p>
    <w:p>
      <w:pPr>
        <w:pStyle w:val="Heading1"/>
        <w:tabs>
          <w:tab w:val="left" w:pos="640"/>
        </w:tabs>
        <w:spacing w:after="150" w:before="320"/>
      </w:pPr>
      <w:r>
        <w:rPr>
          <w:rFonts w:ascii="Arial" w:cs="Arial" w:eastAsia="Arial" w:hAnsi="Arial"/>
          <w:b/>
          <w:bCs/>
          <w:i w:val="false"/>
          <w:iCs w:val="false"/>
          <w:color w:val="000000"/>
          <w:sz w:val="26"/>
          <w:szCs w:val="26"/>
        </w:rPr>
        <w:t xml:space="preserve">8.	</w:t>
      </w:r>
      <w:r>
        <w:rPr>
          <w:rFonts w:ascii="Arial" w:cs="Arial" w:eastAsia="Arial" w:hAnsi="Arial"/>
          <w:b/>
          <w:bCs/>
          <w:i w:val="false"/>
          <w:iCs w:val="false"/>
          <w:color w:val="000000"/>
          <w:sz w:val="26"/>
          <w:szCs w:val="26"/>
        </w:rPr>
        <w:t xml:space="preserve">Mantenimiento de la matriz</w:t>
      </w:r>
    </w:p>
    <w:p>
      <w:pPr>
        <w:spacing w:after="120" w:before="0" w:line="268"/>
        <w:ind w:left="740"/>
        <w:jc w:val="both"/>
      </w:pPr>
      <w:r>
        <w:rPr>
          <w:rFonts w:ascii="Arial" w:cs="Arial" w:eastAsia="Arial" w:hAnsi="Arial"/>
          <w:b w:val="false"/>
          <w:bCs w:val="false"/>
          <w:i w:val="false"/>
          <w:iCs w:val="false"/>
          <w:color w:val="000000"/>
          <w:sz w:val="20"/>
          <w:szCs w:val="20"/>
        </w:rPr>
        <w:t xml:space="preserve">La matriz solo sirve si se mantiene al día. Se acuerdan cuatro reglas:</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Toda solicitud de cambio que añada, modifique o elimine un requisito obliga a actualizar la matriz antes de aprobarla, porque es ahí donde se ve el impacto real del cambio.</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El responsable de la matriz es quien la consolidó. Los demás integrantes le comunican cualquier ajuste que hagan en su especificación.</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Al cierre de cada hito se revisa que la cobertura siga en el 100 % y que los indicadores de la hoja «Cobertura» no arrojen valores distintos de cero en las filas de huérfanos.</w:t>
      </w:r>
    </w:p>
    <w:p>
      <w:pPr>
        <w:pStyle w:val="ListParagraph"/>
        <w:numPr>
          <w:ilvl w:val="0"/>
          <w:numId w:val="2"/>
        </w:numPr>
        <w:spacing w:after="80" w:line="268"/>
        <w:ind w:left="1120" w:hanging="340"/>
        <w:jc w:val="both"/>
      </w:pPr>
      <w:r>
        <w:rPr>
          <w:rFonts w:ascii="Arial" w:cs="Arial" w:eastAsia="Arial" w:hAnsi="Arial"/>
          <w:b w:val="false"/>
          <w:bCs w:val="false"/>
          <w:i w:val="false"/>
          <w:iCs w:val="false"/>
          <w:color w:val="000000"/>
          <w:sz w:val="20"/>
          <w:szCs w:val="20"/>
        </w:rPr>
        <w:t xml:space="preserve">Durante el Hito 3, los resultados de los casos de prueba se registran en la columna «Resultado» de la hoja «CUS ↔ Pruebas», de modo que el avance de la verificación se calcule solo.</w:t>
      </w:r>
    </w:p>
    <w:p>
      <w:pPr>
        <w:pStyle w:val="Heading1"/>
        <w:tabs>
          <w:tab w:val="left" w:pos="640"/>
        </w:tabs>
        <w:spacing w:after="150" w:before="320"/>
      </w:pPr>
      <w:r>
        <w:rPr>
          <w:rFonts w:ascii="Arial" w:cs="Arial" w:eastAsia="Arial" w:hAnsi="Arial"/>
          <w:b/>
          <w:bCs/>
          <w:i w:val="false"/>
          <w:iCs w:val="false"/>
          <w:color w:val="000000"/>
          <w:sz w:val="26"/>
          <w:szCs w:val="26"/>
        </w:rPr>
        <w:t xml:space="preserve">9.	</w:t>
      </w:r>
      <w:r>
        <w:rPr>
          <w:rFonts w:ascii="Arial" w:cs="Arial" w:eastAsia="Arial" w:hAnsi="Arial"/>
          <w:b/>
          <w:bCs/>
          <w:i w:val="false"/>
          <w:iCs w:val="false"/>
          <w:color w:val="000000"/>
          <w:sz w:val="26"/>
          <w:szCs w:val="26"/>
        </w:rPr>
        <w:t xml:space="preserve">Aprobación</w:t>
      </w:r>
    </w:p>
    <w:p>
      <w:pPr>
        <w:spacing w:after="240"/>
      </w:pPr>
      <w:r>
        <w:rPr>
          <w:rFonts w:ascii="Arial" w:cs="Arial" w:eastAsia="Arial" w:hAnsi="Arial"/>
          <w:b w:val="false"/>
          <w:bCs w:val="false"/>
          <w:i w:val="false"/>
          <w:iCs w:val="false"/>
          <w:color w:val="000000"/>
          <w:sz w:val="20"/>
          <w:szCs w:val="20"/>
        </w:rPr>
        <w:t xml:space="preserve"/>
      </w:r>
    </w:p>
    <w:tbl>
      <w:tblPr>
        <w:tblW w:type="dxa" w:w="9020"/>
        <w:tblBorders>
          <w:top w:val="single" w:color="000000" w:sz="6"/>
          <w:left w:val="single" w:color="000000" w:sz="6"/>
          <w:bottom w:val="single" w:color="000000" w:sz="6"/>
          <w:right w:val="single" w:color="000000" w:sz="6"/>
          <w:insideH w:val="single" w:color="000000" w:sz="4"/>
          <w:insideV w:val="single" w:color="000000" w:sz="4"/>
        </w:tblBorders>
      </w:tblPr>
      <w:tblGrid>
        <w:gridCol w:w="4510"/>
        <w:gridCol w:w="4510"/>
      </w:tblGrid>
      <w:tr>
        <w:trPr>
          <w:tblHeader/>
        </w:trPr>
        <w:tc>
          <w:tcPr>
            <w:tcW w:type="dxa" w:w="451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20"/>
                <w:szCs w:val="20"/>
              </w:rPr>
              <w:t xml:space="preserve">Elaborado por</w:t>
            </w:r>
          </w:p>
        </w:tc>
        <w:tc>
          <w:tcPr>
            <w:tcW w:type="dxa" w:w="4510"/>
            <w:shd w:fill="D9D9D9" w:color="auto" w:val="clear"/>
            <w:tcMar>
              <w:top w:type="dxa" w:w="40"/>
              <w:left w:type="dxa" w:w="70"/>
              <w:bottom w:type="dxa" w:w="40"/>
              <w:right w:type="dxa" w:w="70"/>
            </w:tcMar>
            <w:vAlign w:val="center"/>
          </w:tcPr>
          <w:p>
            <w:pPr>
              <w:spacing w:after="25" w:before="25"/>
              <w:jc w:val="center"/>
            </w:pPr>
            <w:r>
              <w:rPr>
                <w:rFonts w:ascii="Arial" w:cs="Arial" w:eastAsia="Arial" w:hAnsi="Arial"/>
                <w:b/>
                <w:bCs/>
                <w:i w:val="false"/>
                <w:iCs w:val="false"/>
                <w:color w:val="000000"/>
                <w:sz w:val="20"/>
                <w:szCs w:val="20"/>
              </w:rPr>
              <w:t xml:space="preserve">Revisado por</w:t>
            </w:r>
          </w:p>
        </w:tc>
      </w:tr>
      <w:tr>
        <w:trPr>
          <w:cantSplit/>
        </w:trPr>
        <w:tc>
          <w:tcPr>
            <w:tcW w:type="dxa" w:w="4510"/>
            <w:tcMar>
              <w:top w:type="dxa" w:w="40"/>
              <w:left w:type="dxa" w:w="70"/>
              <w:bottom w:type="dxa" w:w="40"/>
              <w:right w:type="dxa" w:w="70"/>
            </w:tcMar>
            <w:vAlign w:val="top"/>
          </w:tcPr>
          <w:p>
            <w:pPr>
              <w:spacing w:after="0" w:before="0" w:line="268"/>
              <w:jc w:val="both"/>
            </w:pPr>
            <w:r>
              <w:rPr>
                <w:rFonts w:ascii="Arial" w:cs="Arial" w:eastAsia="Arial" w:hAnsi="Arial"/>
                <w:b w:val="false"/>
                <w:bCs w:val="false"/>
                <w:i w:val="false"/>
                <w:iCs w:val="false"/>
                <w:color w:val="000000"/>
                <w:sz w:val="20"/>
                <w:szCs w:val="20"/>
              </w:rPr>
              <w:t xml:space="preserve">Vegas Villalva</w:t>
            </w:r>
          </w:p>
          <w:p>
            <w:pPr>
              <w:spacing w:after="0" w:before="0" w:line="268"/>
              <w:jc w:val="both"/>
            </w:pPr>
            <w:r>
              <w:rPr>
                <w:rFonts w:ascii="Arial" w:cs="Arial" w:eastAsia="Arial" w:hAnsi="Arial"/>
                <w:b w:val="false"/>
                <w:bCs w:val="false"/>
                <w:i w:val="false"/>
                <w:iCs w:val="false"/>
                <w:color w:val="595959"/>
                <w:sz w:val="18"/>
                <w:szCs w:val="18"/>
              </w:rPr>
              <w:t xml:space="preserve">Responsable de la matriz de trazabilidad</w:t>
            </w:r>
          </w:p>
          <w:p>
            <w:pPr>
              <w:spacing w:after="0" w:before="0" w:line="268"/>
              <w:jc w:val="both"/>
            </w:pPr>
            <w:r>
              <w:rPr>
                <w:rFonts w:ascii="Arial" w:cs="Arial" w:eastAsia="Arial" w:hAnsi="Arial"/>
                <w:b w:val="false"/>
                <w:bCs w:val="false"/>
                <w:i w:val="false"/>
                <w:iCs w:val="false"/>
                <w:color w:val="000000"/>
                <w:sz w:val="20"/>
                <w:szCs w:val="20"/>
              </w:rPr>
              <w:t xml:space="preserve">
</w:t>
            </w:r>
          </w:p>
          <w:p>
            <w:pPr>
              <w:spacing w:after="0" w:before="0" w:line="268"/>
              <w:jc w:val="both"/>
            </w:pPr>
            <w:r>
              <w:rPr>
                <w:rFonts w:ascii="Arial" w:cs="Arial" w:eastAsia="Arial" w:hAnsi="Arial"/>
                <w:b w:val="false"/>
                <w:bCs w:val="false"/>
                <w:i w:val="false"/>
                <w:iCs w:val="false"/>
                <w:color w:val="000000"/>
                <w:sz w:val="18"/>
                <w:szCs w:val="18"/>
              </w:rPr>
              <w:t xml:space="preserve">Firma: ______________________</w:t>
            </w:r>
          </w:p>
        </w:tc>
        <w:tc>
          <w:tcPr>
            <w:tcW w:type="dxa" w:w="4510"/>
            <w:tcMar>
              <w:top w:type="dxa" w:w="40"/>
              <w:left w:type="dxa" w:w="70"/>
              <w:bottom w:type="dxa" w:w="40"/>
              <w:right w:type="dxa" w:w="70"/>
            </w:tcMar>
            <w:vAlign w:val="top"/>
          </w:tcPr>
          <w:p>
            <w:pPr>
              <w:spacing w:after="0" w:before="0" w:line="268"/>
              <w:jc w:val="both"/>
            </w:pPr>
            <w:r>
              <w:rPr>
                <w:rFonts w:ascii="Arial" w:cs="Arial" w:eastAsia="Arial" w:hAnsi="Arial"/>
                <w:b w:val="false"/>
                <w:bCs w:val="false"/>
                <w:i w:val="false"/>
                <w:iCs w:val="false"/>
                <w:color w:val="000000"/>
                <w:sz w:val="20"/>
                <w:szCs w:val="20"/>
              </w:rPr>
              <w:t xml:space="preserve">Cordero Alfaro, Renzo Pedro</w:t>
            </w:r>
          </w:p>
          <w:p>
            <w:pPr>
              <w:spacing w:after="0" w:before="0" w:line="268"/>
              <w:jc w:val="both"/>
            </w:pPr>
            <w:r>
              <w:rPr>
                <w:rFonts w:ascii="Arial" w:cs="Arial" w:eastAsia="Arial" w:hAnsi="Arial"/>
                <w:b w:val="false"/>
                <w:bCs w:val="false"/>
                <w:i w:val="false"/>
                <w:iCs w:val="false"/>
                <w:color w:val="595959"/>
                <w:sz w:val="18"/>
                <w:szCs w:val="18"/>
              </w:rPr>
              <w:t xml:space="preserve">Jefe de proyecto</w:t>
            </w:r>
          </w:p>
          <w:p>
            <w:pPr>
              <w:spacing w:after="0" w:before="0" w:line="268"/>
              <w:jc w:val="both"/>
            </w:pPr>
            <w:r>
              <w:rPr>
                <w:rFonts w:ascii="Arial" w:cs="Arial" w:eastAsia="Arial" w:hAnsi="Arial"/>
                <w:b w:val="false"/>
                <w:bCs w:val="false"/>
                <w:i w:val="false"/>
                <w:iCs w:val="false"/>
                <w:color w:val="000000"/>
                <w:sz w:val="20"/>
                <w:szCs w:val="20"/>
              </w:rPr>
              <w:t xml:space="preserve">
</w:t>
            </w:r>
          </w:p>
          <w:p>
            <w:pPr>
              <w:spacing w:after="0" w:before="0" w:line="268"/>
              <w:jc w:val="both"/>
            </w:pPr>
            <w:r>
              <w:rPr>
                <w:rFonts w:ascii="Arial" w:cs="Arial" w:eastAsia="Arial" w:hAnsi="Arial"/>
                <w:b w:val="false"/>
                <w:bCs w:val="false"/>
                <w:i w:val="false"/>
                <w:iCs w:val="false"/>
                <w:color w:val="000000"/>
                <w:sz w:val="18"/>
                <w:szCs w:val="18"/>
              </w:rPr>
              <w:t xml:space="preserve">Firma: ______________________</w:t>
            </w:r>
          </w:p>
        </w:tc>
      </w:tr>
    </w:tbl>
    <w:sectPr>
      <w:footerReference w:type="default" r:id="rId9"/>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0"/>
        <w:tab w:val="right" w:pos="9020"/>
      </w:tabs>
    </w:pPr>
    <w:r>
      <w:rPr>
        <w:rFonts w:ascii="Times New Roman" w:cs="Times New Roman" w:eastAsia="Times New Roman" w:hAnsi="Times New Roman"/>
        <w:sz w:val="18"/>
        <w:szCs w:val="18"/>
      </w:rPr>
      <w:t xml:space="preserve">Confidencial</w:t>
    </w:r>
    <w:r>
      <w:rPr>
        <w:rFonts w:ascii="Times New Roman" w:cs="Times New Roman" w:eastAsia="Times New Roman" w:hAnsi="Times New Roman"/>
        <w:sz w:val="18"/>
        <w:szCs w:val="18"/>
      </w:rPr>
      <w:t xml:space="preserve">	© FERREMAX — Grupo 2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7090"/>
        <w:tab w:val="right" w:pos="14180"/>
      </w:tabs>
    </w:pPr>
    <w:r>
      <w:rPr>
        <w:rFonts w:ascii="Times New Roman" w:cs="Times New Roman" w:eastAsia="Times New Roman" w:hAnsi="Times New Roman"/>
        <w:sz w:val="18"/>
        <w:szCs w:val="18"/>
      </w:rPr>
      <w:t xml:space="preserve">Confidencial</w:t>
    </w:r>
    <w:r>
      <w:rPr>
        <w:rFonts w:ascii="Times New Roman" w:cs="Times New Roman" w:eastAsia="Times New Roman" w:hAnsi="Times New Roman"/>
        <w:sz w:val="18"/>
        <w:szCs w:val="18"/>
      </w:rPr>
      <w:t xml:space="preserve">	© FERREMAX — Grupo 2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0"/>
        <w:tab w:val="right" w:pos="9020"/>
      </w:tabs>
    </w:pPr>
    <w:r>
      <w:rPr>
        <w:rFonts w:ascii="Times New Roman" w:cs="Times New Roman" w:eastAsia="Times New Roman" w:hAnsi="Times New Roman"/>
        <w:sz w:val="18"/>
        <w:szCs w:val="18"/>
      </w:rPr>
      <w:t xml:space="preserve">Confidencial</w:t>
    </w:r>
    <w:r>
      <w:rPr>
        <w:rFonts w:ascii="Times New Roman" w:cs="Times New Roman" w:eastAsia="Times New Roman" w:hAnsi="Times New Roman"/>
        <w:sz w:val="18"/>
        <w:szCs w:val="18"/>
      </w:rPr>
      <w:t xml:space="preserve">	© FERREMAX — Grupo 2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FMX-MTZ — Matriz de Trazabilidad RF ↔ CUS</dc:title>
  <dc:creator>Grupo 2 — Diseño de Software — UNMSM</dc:creator>
  <cp:lastModifiedBy>Un-named</cp:lastModifiedBy>
  <cp:revision>1</cp:revision>
  <dcterms:created xsi:type="dcterms:W3CDTF">2026-09-17T19:23:39.172Z</dcterms:created>
  <dcterms:modified xsi:type="dcterms:W3CDTF">2026-09-17T19:23:39.172Z</dcterms:modified>
</cp:coreProperties>
</file>

<file path=docProps/custom.xml><?xml version="1.0" encoding="utf-8"?>
<Properties xmlns="http://schemas.openxmlformats.org/officeDocument/2006/custom-properties" xmlns:vt="http://schemas.openxmlformats.org/officeDocument/2006/docPropsVTypes"/>
</file>