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20" w:before="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30"/>
          <w:szCs w:val="30"/>
          <w:rtl w:val="0"/>
        </w:rPr>
        <w:t xml:space="preserve">FERREMAX — Sistema Web de Gestión para Ferretería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Especificación de Caso de Uso: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30"/>
          <w:szCs w:val="30"/>
          <w:rtl w:val="0"/>
        </w:rPr>
        <w:t xml:space="preserve">Mantener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0" w:before="0" w:lineRule="auto"/>
        <w:jc w:val="righ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Versión 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5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Universidad Nacional Mayor de San Marcos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5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Facultad de Ingeniería de Sistemas e Informática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50" w:lineRule="auto"/>
        <w:jc w:val="right"/>
        <w:rPr/>
      </w:pPr>
      <w:r w:rsidDel="00000000" w:rsidR="00000000" w:rsidRPr="00000000">
        <w:rPr>
          <w:sz w:val="19"/>
          <w:szCs w:val="19"/>
          <w:rtl w:val="0"/>
        </w:rPr>
        <w:t xml:space="preserve">Curso: Gestión de la Configuración y Mantenimiento del Software  ·  Docente: Lenis Rossi Wong Portillo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5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Grupo 2  ·  Elaborado por: Roman Hurtado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5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Código del documento: </w:t>
      </w:r>
      <w:r w:rsidDel="00000000" w:rsidR="00000000" w:rsidRPr="00000000">
        <w:rPr>
          <w:sz w:val="19"/>
          <w:szCs w:val="19"/>
          <w:rtl w:val="0"/>
        </w:rPr>
        <w:t xml:space="preserve">FMX_CU8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300" w:before="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Historial de Revisión</w:t>
      </w:r>
      <w:r w:rsidDel="00000000" w:rsidR="00000000" w:rsidRPr="00000000">
        <w:rPr>
          <w:rtl w:val="0"/>
        </w:rPr>
      </w:r>
    </w:p>
    <w:tbl>
      <w:tblPr>
        <w:tblStyle w:val="Table1"/>
        <w:tblW w:w="90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300"/>
        <w:gridCol w:w="3960"/>
        <w:gridCol w:w="2160"/>
        <w:tblGridChange w:id="0">
          <w:tblGrid>
            <w:gridCol w:w="1600"/>
            <w:gridCol w:w="1300"/>
            <w:gridCol w:w="3960"/>
            <w:gridCol w:w="216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30" w:before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30" w:before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30" w:before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30" w:before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120" w:before="0" w:line="26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17/09/2026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120" w:before="0" w:line="26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2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Primera versión de la especificación del caso de uso CUS-08.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2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Roman Hurtado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120" w:before="0" w:line="268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17/09/2026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120" w:before="0" w:line="268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120" w:before="0" w:line="268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Normalización de nomenclatura y actualización de metadatos del curso.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120" w:before="0" w:line="268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Grupo 2</w:t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120" w:before="0" w:line="268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120" w:before="0" w:line="268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120" w:before="0" w:line="268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120" w:before="0" w:line="268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120" w:before="0" w:line="268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120" w:before="0" w:line="268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120" w:before="0" w:line="268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120" w:before="0" w:line="268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120" w:before="0" w:line="268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120" w:before="0" w:line="268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120" w:before="0" w:line="268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120" w:before="0" w:line="268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300" w:before="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560"/>
        </w:tabs>
        <w:spacing w:after="11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1.Caso de uso Mantener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940"/>
        </w:tabs>
        <w:spacing w:after="70" w:lineRule="auto"/>
        <w:ind w:left="3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19"/>
          <w:szCs w:val="19"/>
          <w:rtl w:val="0"/>
        </w:rPr>
        <w:t xml:space="preserve">1.1Breve 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560"/>
        </w:tabs>
        <w:spacing w:after="11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2.Actor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560"/>
        </w:tabs>
        <w:spacing w:after="11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3.Flujo de eventos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940"/>
        </w:tabs>
        <w:spacing w:after="70" w:lineRule="auto"/>
        <w:ind w:left="3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19"/>
          <w:szCs w:val="19"/>
          <w:rtl w:val="0"/>
        </w:rPr>
        <w:t xml:space="preserve">3.1Flujo básico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940"/>
        </w:tabs>
        <w:spacing w:after="70" w:lineRule="auto"/>
        <w:ind w:left="3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19"/>
          <w:szCs w:val="19"/>
          <w:rtl w:val="0"/>
        </w:rPr>
        <w:t xml:space="preserve">3.2Flujo Alternativo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1440"/>
        </w:tabs>
        <w:spacing w:after="70" w:lineRule="auto"/>
        <w:ind w:left="7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19"/>
          <w:szCs w:val="19"/>
          <w:rtl w:val="0"/>
        </w:rPr>
        <w:t xml:space="preserve">3.2.1Editar un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1440"/>
        </w:tabs>
        <w:spacing w:after="70" w:lineRule="auto"/>
        <w:ind w:left="7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19"/>
          <w:szCs w:val="19"/>
          <w:rtl w:val="0"/>
        </w:rPr>
        <w:t xml:space="preserve">3.2.2Activar o desactivar un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440"/>
        </w:tabs>
        <w:spacing w:after="70" w:lineRule="auto"/>
        <w:ind w:left="7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19"/>
          <w:szCs w:val="19"/>
          <w:rtl w:val="0"/>
        </w:rPr>
        <w:t xml:space="preserve">3.2.3Autodesactivación no permitida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1440"/>
        </w:tabs>
        <w:spacing w:after="70" w:lineRule="auto"/>
        <w:ind w:left="7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19"/>
          <w:szCs w:val="19"/>
          <w:rtl w:val="0"/>
        </w:rPr>
        <w:t xml:space="preserve">3.2.4Nombre de usuario duplicado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1440"/>
        </w:tabs>
        <w:spacing w:after="70" w:lineRule="auto"/>
        <w:ind w:left="7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19"/>
          <w:szCs w:val="19"/>
          <w:rtl w:val="0"/>
        </w:rPr>
        <w:t xml:space="preserve">3.2.5Contraseña inválida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1440"/>
        </w:tabs>
        <w:spacing w:after="70" w:lineRule="auto"/>
        <w:ind w:left="7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19"/>
          <w:szCs w:val="19"/>
          <w:rtl w:val="0"/>
        </w:rPr>
        <w:t xml:space="preserve">3.2.6Cambiar la contraseña propia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560"/>
        </w:tabs>
        <w:spacing w:after="11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4.Precondición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940"/>
        </w:tabs>
        <w:spacing w:after="70" w:lineRule="auto"/>
        <w:ind w:left="3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19"/>
          <w:szCs w:val="19"/>
          <w:rtl w:val="0"/>
        </w:rPr>
        <w:t xml:space="preserve">4.1Precondición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560"/>
        </w:tabs>
        <w:spacing w:after="11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5.Post Condición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940"/>
        </w:tabs>
        <w:spacing w:after="70" w:lineRule="auto"/>
        <w:ind w:left="3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19"/>
          <w:szCs w:val="19"/>
          <w:rtl w:val="0"/>
        </w:rPr>
        <w:t xml:space="preserve">5.1Post Condición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940"/>
        </w:tabs>
        <w:spacing w:after="70" w:lineRule="auto"/>
        <w:ind w:left="3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19"/>
          <w:szCs w:val="19"/>
          <w:rtl w:val="0"/>
        </w:rPr>
        <w:t xml:space="preserve">5.2Post Condición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560"/>
        </w:tabs>
        <w:spacing w:after="11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6.Prototipo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940"/>
        </w:tabs>
        <w:spacing w:after="70" w:lineRule="auto"/>
        <w:ind w:left="3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19"/>
          <w:szCs w:val="19"/>
          <w:rtl w:val="0"/>
        </w:rPr>
        <w:t xml:space="preserve">6.1Prototipo de interfaz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940"/>
        </w:tabs>
        <w:spacing w:after="70" w:lineRule="auto"/>
        <w:ind w:left="3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19"/>
          <w:szCs w:val="19"/>
          <w:rtl w:val="0"/>
        </w:rPr>
        <w:t xml:space="preserve">6.2Modelo de Análisis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940"/>
        </w:tabs>
        <w:spacing w:after="70" w:lineRule="auto"/>
        <w:ind w:left="3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19"/>
          <w:szCs w:val="19"/>
          <w:rtl w:val="0"/>
        </w:rPr>
        <w:t xml:space="preserve">6.3Diagrama de secuencia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40" w:before="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Especificación de Caso de Uso: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420" w:before="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30"/>
          <w:szCs w:val="30"/>
          <w:rtl w:val="0"/>
        </w:rPr>
        <w:t xml:space="preserve">Mantener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tabs>
          <w:tab w:val="left" w:leader="none" w:pos="640"/>
        </w:tabs>
        <w:spacing w:after="15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1.Caso de uso Mantener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tabs>
          <w:tab w:val="left" w:leader="none" w:pos="1000"/>
        </w:tabs>
        <w:spacing w:after="110" w:before="220" w:lineRule="auto"/>
        <w:ind w:left="3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1.1Breve 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before="0" w:line="268" w:lineRule="auto"/>
        <w:ind w:left="74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En este caso de uso se describe cómo el administrador crea las cuentas del personal, edita su rol y controla su estado de activación. Ningún usuario se elimina físicamente: la baja es lógica, para que el historial de las ventas y los movimientos que esa persona registró conserve a su responsable. El sistema impide además que el administrador desactive o degrade su propia cuenta.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6720"/>
        <w:tblGridChange w:id="0">
          <w:tblGrid>
            <w:gridCol w:w="2300"/>
            <w:gridCol w:w="6720"/>
          </w:tblGrid>
        </w:tblGridChange>
      </w:tblGrid>
      <w:tr>
        <w:trPr>
          <w:cantSplit w:val="1"/>
          <w:tblHeader w:val="0"/>
        </w:trPr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12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Código del 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12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CUS-08  ·  documento </w:t>
            </w:r>
            <w:r w:rsidDel="00000000" w:rsidR="00000000" w:rsidRPr="00000000">
              <w:rPr>
                <w:rtl w:val="0"/>
              </w:rPr>
              <w:t xml:space="preserve">FMX_CU8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12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Paquete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12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Administración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12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Requisitos funcionales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12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RF-26, RF-27, RF-28, RF-29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12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12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Roman Hurtado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pStyle w:val="Heading1"/>
        <w:tabs>
          <w:tab w:val="left" w:leader="none" w:pos="640"/>
        </w:tabs>
        <w:spacing w:after="15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2.Actor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before="0" w:line="268" w:lineRule="auto"/>
        <w:ind w:left="74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Administrador.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tabs>
          <w:tab w:val="left" w:leader="none" w:pos="640"/>
        </w:tabs>
        <w:spacing w:after="15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3.Flujo de eventos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tabs>
          <w:tab w:val="left" w:leader="none" w:pos="1000"/>
        </w:tabs>
        <w:spacing w:after="110" w:before="220" w:lineRule="auto"/>
        <w:ind w:left="3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3.1Flujo básico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1120" w:right="0" w:hanging="34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CUS comienza cuando el administrador selecciona la opción «Usuarios» del menú lateral.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1120" w:right="0" w:hanging="34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sistema muestra el listado paginado de los usuarios con su nombre, rol, estado y fecha de creación, junto con el buscador por nombre.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1120" w:right="0" w:hanging="34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administrador selecciona el botón «Nuevo usuario».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1120" w:right="0" w:hanging="34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sistema muestra el formulario con los campos nombre de usuario, contraseña, confirmación de la contraseña y rol.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1120" w:right="0" w:hanging="34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administrador ingresa los datos y selecciona «Guardar».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1120" w:right="0" w:hanging="34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sistema valida que el nombre de usuario sea único, que la contraseña tenga al menos ocho caracteres e incluya un número, y que coincida con su confirmación.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1120" w:right="0" w:hanging="34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sistema aplica el hash a la contraseña antes de persistirla.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1120" w:right="0" w:hanging="34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sistema registra el usuario con estado activo y su fecha de creación.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1120" w:right="0" w:hanging="34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sistema regresa al listado y muestra el mensaje «Usuario creado correctamente».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1120" w:right="0" w:hanging="34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CUS finaliza.</w:t>
      </w:r>
    </w:p>
    <w:p w:rsidR="00000000" w:rsidDel="00000000" w:rsidP="00000000" w:rsidRDefault="00000000" w:rsidRPr="00000000" w14:paraId="00000059">
      <w:pPr>
        <w:pStyle w:val="Heading2"/>
        <w:tabs>
          <w:tab w:val="left" w:leader="none" w:pos="1000"/>
        </w:tabs>
        <w:spacing w:after="110" w:before="220" w:lineRule="auto"/>
        <w:ind w:left="3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3.2Flujo Alternativo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tabs>
          <w:tab w:val="left" w:leader="none" w:pos="1440"/>
        </w:tabs>
        <w:spacing w:after="90" w:before="180" w:lineRule="auto"/>
        <w:ind w:left="7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1"/>
          <w:szCs w:val="21"/>
          <w:rtl w:val="0"/>
        </w:rPr>
        <w:t xml:space="preserve">3.2.1Editar un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before="0" w:line="268" w:lineRule="auto"/>
        <w:ind w:left="114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En el paso 3 el administrador selecciona «Editar» sobre un usuario del listado. El sistema muestra el formulario con los datos actuales y el campo de contraseña vacío. El administrador modifica el nombre o el rol y, opcionalmente, define una contraseña nueva. El sistema valida los datos y actualiza el registro; si el campo de contraseña quedó vacío, conserva la contraseña anterior. El CUS finaliza.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tabs>
          <w:tab w:val="left" w:leader="none" w:pos="1440"/>
        </w:tabs>
        <w:spacing w:after="90" w:before="180" w:lineRule="auto"/>
        <w:ind w:left="7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1"/>
          <w:szCs w:val="21"/>
          <w:rtl w:val="0"/>
        </w:rPr>
        <w:t xml:space="preserve">3.2.2Activar o desactivar un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before="0" w:line="268" w:lineRule="auto"/>
        <w:ind w:left="114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En el paso 3 el administrador selecciona «Desactivar» sobre un usuario y confirma la acción. El sistema cambia el estado del usuario a inactivo sin borrar el registro. El usuario desactivado deja de poder iniciar sesión, pero su nombre sigue asociado a las ventas y movimientos que registró. La operación es reversible. El CUS finaliza.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tabs>
          <w:tab w:val="left" w:leader="none" w:pos="1440"/>
        </w:tabs>
        <w:spacing w:after="90" w:before="180" w:lineRule="auto"/>
        <w:ind w:left="7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1"/>
          <w:szCs w:val="21"/>
          <w:rtl w:val="0"/>
        </w:rPr>
        <w:t xml:space="preserve">3.2.3Autodesactivación no permitida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before="0" w:line="268" w:lineRule="auto"/>
        <w:ind w:left="114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En el flujo alternativo anterior, si el administrador intenta desactivarse a sí mismo o cambiar su propio rol a vendedor, el sistema impide la operación antes de tocar la base de datos, muestra la advertencia «No puede desactivar ni degradar su propia cuenta» y el CUS regresa al paso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tabs>
          <w:tab w:val="left" w:leader="none" w:pos="1440"/>
        </w:tabs>
        <w:spacing w:after="90" w:before="180" w:lineRule="auto"/>
        <w:ind w:left="7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1"/>
          <w:szCs w:val="21"/>
          <w:rtl w:val="0"/>
        </w:rPr>
        <w:t xml:space="preserve">3.2.4Nombre de usuario duplicado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before="0" w:line="268" w:lineRule="auto"/>
        <w:ind w:left="114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En el paso 6 el sistema determina que el nombre de usuario ya existe. El sistema rechaza la creación, solicita un nombre diferente y el CUS regresa al paso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tabs>
          <w:tab w:val="left" w:leader="none" w:pos="1440"/>
        </w:tabs>
        <w:spacing w:after="90" w:before="180" w:lineRule="auto"/>
        <w:ind w:left="7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1"/>
          <w:szCs w:val="21"/>
          <w:rtl w:val="0"/>
        </w:rPr>
        <w:t xml:space="preserve">3.2.5Contraseña inválida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before="0" w:line="268" w:lineRule="auto"/>
        <w:ind w:left="114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En el paso 6 el sistema determina que la contraseña no alcanza la longitud mínima, no incluye ningún número o no coincide con su confirmación. El sistema muestra el error junto al campo correspondiente y el CUS regresa al paso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tabs>
          <w:tab w:val="left" w:leader="none" w:pos="1440"/>
        </w:tabs>
        <w:spacing w:after="90" w:before="180" w:lineRule="auto"/>
        <w:ind w:left="7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1"/>
          <w:szCs w:val="21"/>
          <w:rtl w:val="0"/>
        </w:rPr>
        <w:t xml:space="preserve">3.2.6Cambiar la contraseña propia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before="0" w:line="268" w:lineRule="auto"/>
        <w:ind w:left="114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Cualquier usuario autenticado accede a su perfil y solicita cambiar su contraseña. El sistema exige la contraseña actual, la nueva y su confirmación. Si la contraseña actual es correcta y la nueva cumple las reglas, el sistema actualiza el hash, confirma el cambio y el CUS finaliza.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tabs>
          <w:tab w:val="left" w:leader="none" w:pos="640"/>
        </w:tabs>
        <w:spacing w:after="15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4.Precondición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tabs>
          <w:tab w:val="left" w:leader="none" w:pos="1000"/>
        </w:tabs>
        <w:spacing w:after="110" w:before="220" w:lineRule="auto"/>
        <w:ind w:left="3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4.1Precondición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before="0" w:line="268" w:lineRule="auto"/>
        <w:ind w:left="74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El usuario ha iniciado sesión con el rol de administrador.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tabs>
          <w:tab w:val="left" w:leader="none" w:pos="640"/>
        </w:tabs>
        <w:spacing w:after="15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5.Post Condición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tabs>
          <w:tab w:val="left" w:leader="none" w:pos="1000"/>
        </w:tabs>
        <w:spacing w:after="110" w:before="220" w:lineRule="auto"/>
        <w:ind w:left="3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5.1Post Condición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before="0" w:line="268" w:lineRule="auto"/>
        <w:ind w:left="74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El usuario queda registrado, modificado o con su estado cambiado, con la contraseña almacenada de forma segura.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tabs>
          <w:tab w:val="left" w:leader="none" w:pos="1000"/>
        </w:tabs>
        <w:spacing w:after="110" w:before="220" w:lineRule="auto"/>
        <w:ind w:left="3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5.2Post Condición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before="0" w:line="268" w:lineRule="auto"/>
        <w:ind w:left="74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La cuenta del administrador que ejecuta la operación permanece siempre activa y con su 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tabs>
          <w:tab w:val="left" w:leader="none" w:pos="640"/>
        </w:tabs>
        <w:spacing w:after="15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6.Prototipo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tabs>
          <w:tab w:val="left" w:leader="none" w:pos="1000"/>
        </w:tabs>
        <w:spacing w:after="110" w:before="220" w:lineRule="auto"/>
        <w:ind w:left="3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6.1Prototipo de interfaz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before="0" w:line="268" w:lineRule="auto"/>
        <w:ind w:left="74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Pantalla del sistema sobre la que se ejecuta el caso de uso CUS-08.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7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26860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404040"/>
          <w:sz w:val="17"/>
          <w:szCs w:val="17"/>
          <w:rtl w:val="0"/>
        </w:rPr>
        <w:t xml:space="preserve">Figura 1. Prototipo de la interfaz de usuario — Mantener usuarios.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tabs>
          <w:tab w:val="left" w:leader="none" w:pos="1000"/>
        </w:tabs>
        <w:spacing w:after="110" w:before="220" w:lineRule="auto"/>
        <w:ind w:left="3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6.2Modelo de Análisis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before="0" w:line="268" w:lineRule="auto"/>
        <w:ind w:left="74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Clases de análisis que colaboran en la realización del caso de uso: la clase de interfaz (IU_) con la que interactúa el actor, la clase de control (C_) que coordina la operación y las clases de entidad (E_) que persisten la información.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7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16859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404040"/>
          <w:sz w:val="17"/>
          <w:szCs w:val="17"/>
          <w:rtl w:val="0"/>
        </w:rPr>
        <w:t xml:space="preserve">Figura 2. Modelo de análisis — Mantener usuarios.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tabs>
          <w:tab w:val="left" w:leader="none" w:pos="1000"/>
        </w:tabs>
        <w:spacing w:after="110" w:before="220" w:lineRule="auto"/>
        <w:ind w:left="3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6.3Diagrama de secuencia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before="0" w:line="268" w:lineRule="auto"/>
        <w:ind w:left="74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Secuencia de mensajes intercambiados entre el actor y las clases de análisis durante el flujo básico del caso de uso.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7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53530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35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404040"/>
          <w:sz w:val="17"/>
          <w:szCs w:val="17"/>
          <w:rtl w:val="0"/>
        </w:rPr>
        <w:t xml:space="preserve">Figura 3. Diagrama de secuencia — Mantener usuarios.</w:t>
      </w:r>
      <w:r w:rsidDel="00000000" w:rsidR="00000000" w:rsidRPr="00000000">
        <w:rPr>
          <w:rtl w:val="0"/>
        </w:rPr>
      </w:r>
    </w:p>
    <w:sectPr>
      <w:footerReference r:id="rId9" w:type="default"/>
      <w:pgSz w:h="16838" w:w="11906" w:orient="portrait"/>
      <w:pgMar w:bottom="130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tabs>
        <w:tab w:val="center" w:leader="none" w:pos="4510"/>
        <w:tab w:val="right" w:leader="none" w:pos="9020"/>
      </w:tabs>
      <w:rPr/>
    </w:pPr>
    <w:r w:rsidDel="00000000" w:rsidR="00000000" w:rsidRPr="00000000">
      <w:rPr>
        <w:rFonts w:ascii="Times New Roman" w:cs="Times New Roman" w:eastAsia="Times New Roman" w:hAnsi="Times New Roman"/>
        <w:sz w:val="18"/>
        <w:szCs w:val="18"/>
        <w:rtl w:val="0"/>
      </w:rPr>
      <w:t xml:space="preserve">Confidencial© FERREMAX — Grupo 2</w:t>
    </w:r>
    <w:r w:rsidDel="00000000" w:rsidR="00000000" w:rsidRPr="00000000"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120" w:hanging="3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