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1143000" cy="1368862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68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480" w:before="480" w:line="264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4"/>
          <w:szCs w:val="44"/>
          <w:rtl w:val="0"/>
        </w:rPr>
        <w:t xml:space="preserve">Plan de gestión de la configuración del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Facultad de Ingeniería de Sistemas e Informática - Escuela de Ingeniería de Software Universidad Nacional Mayor de San Marcos</w:t>
      </w:r>
    </w:p>
    <w:p w:rsidR="00000000" w:rsidDel="00000000" w:rsidP="00000000" w:rsidRDefault="00000000" w:rsidRPr="00000000" w14:paraId="00000004">
      <w:pPr>
        <w:spacing w:after="48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Roberto Antonio Vegas Villalva</w:t>
        <w:br w:type="textWrapping"/>
        <w:t xml:space="preserve">Jose Francisco Mallqui Meza</w:t>
        <w:br w:type="textWrapping"/>
        <w:t xml:space="preserve">Roman Hurtado Maximo Lenny</w:t>
        <w:br w:type="textWrapping"/>
        <w:t xml:space="preserve">Renzo Pedro Cordero Alfaro</w:t>
        <w:br w:type="textWrapping"/>
        <w:t xml:space="preserve">Joseph Leonel Castillejo Huancas</w:t>
        <w:br w:type="textWrapping"/>
        <w:t xml:space="preserve">Erick Martin Alegre Mayanga</w:t>
      </w:r>
    </w:p>
    <w:p w:rsidR="00000000" w:rsidDel="00000000" w:rsidP="00000000" w:rsidRDefault="00000000" w:rsidRPr="00000000" w14:paraId="00000005">
      <w:pPr>
        <w:spacing w:after="48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NexoSoft-Consulting</w:t>
      </w:r>
    </w:p>
    <w:p w:rsidR="00000000" w:rsidDel="00000000" w:rsidP="00000000" w:rsidRDefault="00000000" w:rsidRPr="00000000" w14:paraId="00000006">
      <w:pPr>
        <w:pageBreakBefore w:val="1"/>
        <w:spacing w:after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8424"/>
        </w:tabs>
        <w:spacing w:after="140" w:line="252.00000000000003" w:lineRule="auto"/>
        <w:ind w:left="0" w:firstLine="0"/>
        <w:rPr/>
      </w:pPr>
      <w:hyperlink w:anchor="bookmark=id.3mvykpr9asia">
        <w:r w:rsidDel="00000000" w:rsidR="00000000" w:rsidRPr="00000000">
          <w:rPr>
            <w:rFonts w:ascii="Arial" w:cs="Arial" w:eastAsia="Arial" w:hAnsi="Arial"/>
            <w:b w:val="1"/>
            <w:bCs w:val="1"/>
            <w:sz w:val="22"/>
            <w:szCs w:val="22"/>
            <w:rtl w:val="0"/>
          </w:rPr>
          <w:t xml:space="preserve">1 Introducción</w:t>
        </w:r>
      </w:hyperlink>
      <w:r w:rsidDel="00000000" w:rsidR="00000000" w:rsidRPr="00000000">
        <w:rPr>
          <w:sz w:val="22"/>
          <w:szCs w:val="22"/>
          <w:rtl w:val="0"/>
        </w:rPr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8136"/>
        </w:tabs>
        <w:spacing w:after="140" w:line="252.00000000000003" w:lineRule="auto"/>
        <w:ind w:left="288" w:firstLine="0"/>
        <w:rPr/>
      </w:pPr>
      <w:hyperlink w:anchor="bookmark=id.c2c0lv4icl23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1.1 Situación de la empresa</w:t>
        </w:r>
      </w:hyperlink>
      <w:r w:rsidDel="00000000" w:rsidR="00000000" w:rsidRPr="00000000">
        <w:rPr>
          <w:sz w:val="22"/>
          <w:szCs w:val="22"/>
          <w:rtl w:val="0"/>
        </w:rPr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8136"/>
        </w:tabs>
        <w:spacing w:after="140" w:line="252.00000000000003" w:lineRule="auto"/>
        <w:ind w:left="288" w:firstLine="0"/>
        <w:rPr/>
      </w:pPr>
      <w:hyperlink w:anchor="bookmark=id.d8uijglyt6b1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1.2 Objetivo</w:t>
        </w:r>
      </w:hyperlink>
      <w:r w:rsidDel="00000000" w:rsidR="00000000" w:rsidRPr="00000000">
        <w:rPr>
          <w:sz w:val="22"/>
          <w:szCs w:val="22"/>
          <w:rtl w:val="0"/>
        </w:rPr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8424"/>
        </w:tabs>
        <w:spacing w:after="140" w:line="252.00000000000003" w:lineRule="auto"/>
        <w:ind w:left="0" w:firstLine="0"/>
        <w:rPr/>
      </w:pPr>
      <w:hyperlink w:anchor="bookmark=id.nx848pjfuozl">
        <w:r w:rsidDel="00000000" w:rsidR="00000000" w:rsidRPr="00000000">
          <w:rPr>
            <w:rFonts w:ascii="Arial" w:cs="Arial" w:eastAsia="Arial" w:hAnsi="Arial"/>
            <w:b w:val="1"/>
            <w:bCs w:val="1"/>
            <w:sz w:val="22"/>
            <w:szCs w:val="22"/>
            <w:rtl w:val="0"/>
          </w:rPr>
          <w:t xml:space="preserve">2 Benchmarking de plataformas para la gestión de la configuración</w:t>
        </w:r>
      </w:hyperlink>
      <w:r w:rsidDel="00000000" w:rsidR="00000000" w:rsidRPr="00000000">
        <w:rPr>
          <w:sz w:val="22"/>
          <w:szCs w:val="22"/>
          <w:rtl w:val="0"/>
        </w:rPr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8136"/>
        </w:tabs>
        <w:spacing w:after="140" w:line="252.00000000000003" w:lineRule="auto"/>
        <w:ind w:left="288" w:firstLine="0"/>
        <w:rPr/>
      </w:pPr>
      <w:hyperlink w:anchor="bookmark=id.hrbmsrkou3cu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2.1 Alternativas evaluadas</w:t>
        </w:r>
      </w:hyperlink>
      <w:r w:rsidDel="00000000" w:rsidR="00000000" w:rsidRPr="00000000">
        <w:rPr>
          <w:sz w:val="22"/>
          <w:szCs w:val="22"/>
          <w:rtl w:val="0"/>
        </w:rPr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8136"/>
        </w:tabs>
        <w:spacing w:after="140" w:line="252.00000000000003" w:lineRule="auto"/>
        <w:ind w:left="288" w:firstLine="0"/>
        <w:rPr/>
      </w:pPr>
      <w:hyperlink w:anchor="bookmark=id.9e2la8fczlok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2.2 Criterios de evaluación</w:t>
        </w:r>
      </w:hyperlink>
      <w:r w:rsidDel="00000000" w:rsidR="00000000" w:rsidRPr="00000000">
        <w:rPr>
          <w:sz w:val="22"/>
          <w:szCs w:val="22"/>
          <w:rtl w:val="0"/>
        </w:rPr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8136"/>
        </w:tabs>
        <w:spacing w:after="140" w:line="252.00000000000003" w:lineRule="auto"/>
        <w:ind w:left="288" w:firstLine="0"/>
        <w:rPr/>
      </w:pPr>
      <w:hyperlink w:anchor="bookmark=id.54qwrltrvxur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2.3 Matriz de confrontación</w:t>
        </w:r>
      </w:hyperlink>
      <w:r w:rsidDel="00000000" w:rsidR="00000000" w:rsidRPr="00000000">
        <w:rPr>
          <w:sz w:val="22"/>
          <w:szCs w:val="22"/>
          <w:rtl w:val="0"/>
        </w:rPr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8136"/>
        </w:tabs>
        <w:spacing w:after="140" w:line="252.00000000000003" w:lineRule="auto"/>
        <w:ind w:left="288" w:firstLine="0"/>
        <w:rPr/>
      </w:pPr>
      <w:hyperlink w:anchor="bookmark=id.cmwyg0w8nfth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2.4 Evaluación ponderada</w:t>
        </w:r>
      </w:hyperlink>
      <w:r w:rsidDel="00000000" w:rsidR="00000000" w:rsidRPr="00000000">
        <w:rPr>
          <w:sz w:val="22"/>
          <w:szCs w:val="22"/>
          <w:rtl w:val="0"/>
        </w:rPr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8136"/>
        </w:tabs>
        <w:spacing w:after="140" w:line="252.00000000000003" w:lineRule="auto"/>
        <w:ind w:left="288" w:firstLine="0"/>
        <w:rPr/>
      </w:pPr>
      <w:hyperlink w:anchor="bookmark=id.31enei2trpes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2.5 Justificación de las puntuaciones y condiciones de uso</w:t>
        </w:r>
      </w:hyperlink>
      <w:r w:rsidDel="00000000" w:rsidR="00000000" w:rsidRPr="00000000">
        <w:rPr>
          <w:sz w:val="22"/>
          <w:szCs w:val="22"/>
          <w:rtl w:val="0"/>
        </w:rPr>
        <w:tab/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8136"/>
        </w:tabs>
        <w:spacing w:after="140" w:line="252.00000000000003" w:lineRule="auto"/>
        <w:ind w:left="288" w:firstLine="0"/>
        <w:rPr/>
      </w:pPr>
      <w:hyperlink w:anchor="bookmark=id.sw4126kytgzs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2.6 Selección y aplicación al plan</w:t>
        </w:r>
      </w:hyperlink>
      <w:r w:rsidDel="00000000" w:rsidR="00000000" w:rsidRPr="00000000">
        <w:rPr>
          <w:sz w:val="22"/>
          <w:szCs w:val="22"/>
          <w:rtl w:val="0"/>
        </w:rPr>
        <w:tab/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8424"/>
        </w:tabs>
        <w:spacing w:after="140" w:line="252.00000000000003" w:lineRule="auto"/>
        <w:ind w:left="0" w:firstLine="0"/>
        <w:rPr/>
      </w:pPr>
      <w:hyperlink w:anchor="bookmark=id.ufoyqp1q2ugb">
        <w:r w:rsidDel="00000000" w:rsidR="00000000" w:rsidRPr="00000000">
          <w:rPr>
            <w:rFonts w:ascii="Arial" w:cs="Arial" w:eastAsia="Arial" w:hAnsi="Arial"/>
            <w:b w:val="1"/>
            <w:bCs w:val="1"/>
            <w:sz w:val="22"/>
            <w:szCs w:val="22"/>
            <w:rtl w:val="0"/>
          </w:rPr>
          <w:t xml:space="preserve">3 Equipo de gestión de la configuración</w:t>
        </w:r>
      </w:hyperlink>
      <w:r w:rsidDel="00000000" w:rsidR="00000000" w:rsidRPr="00000000">
        <w:rPr>
          <w:sz w:val="22"/>
          <w:szCs w:val="22"/>
          <w:rtl w:val="0"/>
        </w:rPr>
        <w:tab/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8424"/>
        </w:tabs>
        <w:spacing w:after="140" w:line="252.00000000000003" w:lineRule="auto"/>
        <w:ind w:left="0" w:firstLine="0"/>
        <w:rPr/>
      </w:pPr>
      <w:hyperlink w:anchor="bookmark=id.3z66mvboownv">
        <w:r w:rsidDel="00000000" w:rsidR="00000000" w:rsidRPr="00000000">
          <w:rPr>
            <w:rFonts w:ascii="Arial" w:cs="Arial" w:eastAsia="Arial" w:hAnsi="Arial"/>
            <w:b w:val="1"/>
            <w:bCs w:val="1"/>
            <w:sz w:val="22"/>
            <w:szCs w:val="22"/>
            <w:rtl w:val="0"/>
          </w:rPr>
          <w:t xml:space="preserve">4 Clasificación de los elementos de configuración</w:t>
        </w:r>
      </w:hyperlink>
      <w:r w:rsidDel="00000000" w:rsidR="00000000" w:rsidRPr="00000000">
        <w:rPr>
          <w:sz w:val="22"/>
          <w:szCs w:val="22"/>
          <w:rtl w:val="0"/>
        </w:rPr>
        <w:tab/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8424"/>
        </w:tabs>
        <w:spacing w:after="140" w:line="252.00000000000003" w:lineRule="auto"/>
        <w:ind w:left="0" w:firstLine="0"/>
        <w:rPr/>
      </w:pPr>
      <w:hyperlink w:anchor="bookmark=id.u6fn3hjh8rrs">
        <w:r w:rsidDel="00000000" w:rsidR="00000000" w:rsidRPr="00000000">
          <w:rPr>
            <w:rFonts w:ascii="Arial" w:cs="Arial" w:eastAsia="Arial" w:hAnsi="Arial"/>
            <w:b w:val="1"/>
            <w:bCs w:val="1"/>
            <w:sz w:val="22"/>
            <w:szCs w:val="22"/>
            <w:rtl w:val="0"/>
          </w:rPr>
          <w:t xml:space="preserve">5 Nomenclatura de los elementos de configuración</w:t>
        </w:r>
      </w:hyperlink>
      <w:r w:rsidDel="00000000" w:rsidR="00000000" w:rsidRPr="00000000">
        <w:rPr>
          <w:sz w:val="22"/>
          <w:szCs w:val="22"/>
          <w:rtl w:val="0"/>
        </w:rPr>
        <w:tab/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8136"/>
        </w:tabs>
        <w:spacing w:after="140" w:line="252.00000000000003" w:lineRule="auto"/>
        <w:ind w:left="288" w:firstLine="0"/>
        <w:rPr/>
      </w:pPr>
      <w:hyperlink w:anchor="bookmark=id.rmpfobksumj3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5.1 Nomenclatura general</w:t>
        </w:r>
      </w:hyperlink>
      <w:r w:rsidDel="00000000" w:rsidR="00000000" w:rsidRPr="00000000">
        <w:rPr>
          <w:sz w:val="22"/>
          <w:szCs w:val="22"/>
          <w:rtl w:val="0"/>
        </w:rPr>
        <w:tab/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8136"/>
        </w:tabs>
        <w:spacing w:after="140" w:line="252.00000000000003" w:lineRule="auto"/>
        <w:ind w:left="288" w:firstLine="0"/>
        <w:rPr/>
      </w:pPr>
      <w:hyperlink w:anchor="bookmark=id.2rhp3avnsx5j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5.2 Nomenclatura de especificaciones de casos de uso</w:t>
        </w:r>
      </w:hyperlink>
      <w:r w:rsidDel="00000000" w:rsidR="00000000" w:rsidRPr="00000000">
        <w:rPr>
          <w:sz w:val="22"/>
          <w:szCs w:val="22"/>
          <w:rtl w:val="0"/>
        </w:rPr>
        <w:tab/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8136"/>
        </w:tabs>
        <w:spacing w:after="140" w:line="252.00000000000003" w:lineRule="auto"/>
        <w:ind w:left="288" w:firstLine="0"/>
        <w:rPr/>
      </w:pPr>
      <w:hyperlink w:anchor="bookmark=id.b2yduogzhn3x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5.3 Nomenclatura de elementos repetidos</w:t>
        </w:r>
      </w:hyperlink>
      <w:r w:rsidDel="00000000" w:rsidR="00000000" w:rsidRPr="00000000">
        <w:rPr>
          <w:sz w:val="22"/>
          <w:szCs w:val="22"/>
          <w:rtl w:val="0"/>
        </w:rPr>
        <w:tab/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8424"/>
        </w:tabs>
        <w:spacing w:after="140" w:line="252.00000000000003" w:lineRule="auto"/>
        <w:ind w:left="0" w:firstLine="0"/>
        <w:rPr/>
      </w:pPr>
      <w:hyperlink w:anchor="bookmark=id.3oxwp23cxiva">
        <w:r w:rsidDel="00000000" w:rsidR="00000000" w:rsidRPr="00000000">
          <w:rPr>
            <w:rFonts w:ascii="Arial" w:cs="Arial" w:eastAsia="Arial" w:hAnsi="Arial"/>
            <w:b w:val="1"/>
            <w:bCs w:val="1"/>
            <w:sz w:val="22"/>
            <w:szCs w:val="22"/>
            <w:rtl w:val="0"/>
          </w:rPr>
          <w:t xml:space="preserve">6 Estructura del repositorio</w:t>
        </w:r>
      </w:hyperlink>
      <w:r w:rsidDel="00000000" w:rsidR="00000000" w:rsidRPr="00000000">
        <w:rPr>
          <w:sz w:val="22"/>
          <w:szCs w:val="22"/>
          <w:rtl w:val="0"/>
        </w:rPr>
        <w:tab/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1"/>
        <w:pageBreakBefore w:val="1"/>
        <w:spacing w:after="160" w:before="0" w:lineRule="auto"/>
        <w:jc w:val="left"/>
        <w:rPr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1"/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1.1 Situación de la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tl w:val="0"/>
        </w:rPr>
        <w:t xml:space="preserve">Nexosoft consulting es una empresa consultora y desarrolladora de soluciones de software a medida con más de 5 años de trayectoria en el mercado peruano. La compañía se especializa en la transformación digital, diseño de arquitectura en capas, desarrollo web y automatización de procesos de negocio para clientes pertenecientes a diversos sectores productivos.</w:t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  <w:t xml:space="preserve">En la actualidad, Nexosoft consulting administra en simultáneo el desarrollo, despliegue y mantenimiento evolutivo de software para tres empresas clientes pertenecientes a tres industrias clave:</w:t>
      </w:r>
    </w:p>
    <w:p w:rsidR="00000000" w:rsidDel="00000000" w:rsidP="00000000" w:rsidRDefault="00000000" w:rsidRPr="00000000" w14:paraId="0000001C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Ferretería FERREMAX (Sector Comercial / Retail): </w:t>
      </w:r>
      <w:r w:rsidDel="00000000" w:rsidR="00000000" w:rsidRPr="00000000">
        <w:rPr>
          <w:rtl w:val="0"/>
        </w:rPr>
        <w:t xml:space="preserve">Proyecto «FERREMAX — Sistema Web de Gestión para Ferretería» (Siglas: FMX). Consiste en una aplicación web integral desarrollada en PHP 8.2 con Laravel 11, MySQL 8.0 y Docker, destinada a automatizar el control de acceso, gestión del catálogo de inventario, punto de venta con carrito en vivo, facturación correlativa y generación de reportes e indicadores gerenciales con Chart.js.</w:t>
      </w:r>
    </w:p>
    <w:p w:rsidR="00000000" w:rsidDel="00000000" w:rsidP="00000000" w:rsidRDefault="00000000" w:rsidRPr="00000000" w14:paraId="0000001D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Clínica Salud Integral (Sector Salud / Médico): </w:t>
      </w:r>
      <w:r w:rsidDel="00000000" w:rsidR="00000000" w:rsidRPr="00000000">
        <w:rPr>
          <w:rtl w:val="0"/>
        </w:rPr>
        <w:t xml:space="preserve">Proyecto «SALI — Sistema Web de Historia Clínica y Citas Médicas». Consiste en una plataforma web centralizada para el agendamiento de consultas médicas en línea, gestión de turnos para doctores, expediente clínico electrónico del paciente y facturación de servicios de salud.</w:t>
      </w:r>
    </w:p>
    <w:p w:rsidR="00000000" w:rsidDel="00000000" w:rsidP="00000000" w:rsidRDefault="00000000" w:rsidRPr="00000000" w14:paraId="0000001E">
      <w:pPr>
        <w:spacing w:after="1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Transportes &amp; Logística del Sur S.A.C. (Sector Logística / Transportes): </w:t>
      </w:r>
      <w:r w:rsidDel="00000000" w:rsidR="00000000" w:rsidRPr="00000000">
        <w:rPr>
          <w:rtl w:val="0"/>
        </w:rPr>
        <w:t xml:space="preserve">Proyecto «TRLOG — Sistema de Control de Flotas y Despacho de Carga». Consiste en un sistema web de monitoreo de rutas, emisión de guías de remisión electrónicas, control de mantenimiento preventivo de unidades de transporte y seguimiento de entregas a nivel nacional.</w:t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tl w:val="0"/>
        </w:rPr>
        <w:t xml:space="preserve">El principal desafío organizacional de Nexosoft consulting proviene de gestionar simultáneamente tres proyectos de software con equipos multidisciplinarios que trabajan sobre entornos distribuidos en GitHub (con múltiples ramas como main, develop y feature/*). En proyectos anteriores se identificó el riesgo recurrente de que la información crítica del proyecto (código fuente, artefactos del Proceso Unificado, esquemas de base de datos y manuales) existiera en copias múltiples desincronizadas, sin una fuente única y confiable.</w:t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  <w:t xml:space="preserve">Esta falta de un control estricto de versiones provocaba que el stock de requerimientos cambiara sin autorización, que distintos desarrolladores trabajaran con código o documentos desactualizados al mismo tiempo, y que no existiera trazabilidad sobre quién modificó un elemento, cuándo se hizo y bajo qué autorización. La ausencia de control sobre las versiones de los artefactos es precisamente lo que este Plan de Gestión de la Configuración (PGC) busca resolver: establecer una única fuente de verdad, control formal de cambios, versionado estricto y trazabilidad completa para todos los proyectos ejecutados por Nexosoft consulting</w:t>
      </w:r>
    </w:p>
    <w:p w:rsidR="00000000" w:rsidDel="00000000" w:rsidP="00000000" w:rsidRDefault="00000000" w:rsidRPr="00000000" w14:paraId="00000021">
      <w:pPr>
        <w:pStyle w:val="Heading2"/>
        <w:keepNext w:val="1"/>
        <w:pageBreakBefore w:val="1"/>
        <w:spacing w:after="160" w:before="240" w:lineRule="auto"/>
        <w:jc w:val="left"/>
        <w:rPr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1.2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tl w:val="0"/>
        </w:rPr>
        <w:t xml:space="preserve">El objetivo central de implementar el Plan de Gestión de la Configuración en Nexosoft consulting es garantizar la integridad, consistencia y trazabilidad de todos los Elementos de Configuración (EC) —código fuente, scripts de base de datos, arquitectura y documentación formal— a lo largo del ciclo de vida de desarrollo de los proyectos contratados (FERREMAX, SALI y TRLOG). Los beneficios clave que aporta esta implementación son:</w:t>
      </w:r>
    </w:p>
    <w:p w:rsidR="00000000" w:rsidDel="00000000" w:rsidP="00000000" w:rsidRDefault="00000000" w:rsidRPr="00000000" w14:paraId="00000023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Una unica fuente de verdad </w:t>
      </w:r>
      <w:r w:rsidDel="00000000" w:rsidR="00000000" w:rsidRPr="00000000">
        <w:rPr>
          <w:rtl w:val="0"/>
        </w:rPr>
        <w:t xml:space="preserve">para el código y la documentación de todos los proyectos de software de la empresa, evitando versiones duplicadas, desfasadas o desactualizadas.</w:t>
      </w:r>
    </w:p>
    <w:p w:rsidR="00000000" w:rsidDel="00000000" w:rsidP="00000000" w:rsidRDefault="00000000" w:rsidRPr="00000000" w14:paraId="00000024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Trazabilidad completa de los cambios: </w:t>
      </w:r>
      <w:r w:rsidDel="00000000" w:rsidR="00000000" w:rsidRPr="00000000">
        <w:rPr>
          <w:rtl w:val="0"/>
        </w:rPr>
        <w:t xml:space="preserve">capacidad de auditar exactamente quién modificó qué elemento, cuándo se realizó la modificación y por qué motivo, tanto en el código fuente como en los artefactos del Proceso Unificado (RUP).</w:t>
      </w:r>
    </w:p>
    <w:p w:rsidR="00000000" w:rsidDel="00000000" w:rsidP="00000000" w:rsidRDefault="00000000" w:rsidRPr="00000000" w14:paraId="00000025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Reducción de conflictos de integración </w:t>
      </w:r>
      <w:r w:rsidDel="00000000" w:rsidR="00000000" w:rsidRPr="00000000">
        <w:rPr>
          <w:rtl w:val="0"/>
        </w:rPr>
        <w:t xml:space="preserve">entre las diferentes ramas de desarrollo (feature/seguridad, feature/inventario, feature/ventas, etc.), gracias a una política formal de sincronización, integración continua y revisiones cruzadas de código (Pull Requests).</w:t>
      </w:r>
    </w:p>
    <w:p w:rsidR="00000000" w:rsidDel="00000000" w:rsidP="00000000" w:rsidRDefault="00000000" w:rsidRPr="00000000" w14:paraId="00000026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Control formal de cambios de alcance: </w:t>
      </w:r>
      <w:r w:rsidDel="00000000" w:rsidR="00000000" w:rsidRPr="00000000">
        <w:rPr>
          <w:rtl w:val="0"/>
        </w:rPr>
        <w:t xml:space="preserve">toda solicitud de cambio planteada por el cliente o el equipo técnico debe someterse a un análisis previo de impacto antes de su aprobación, evitando modificaciones no autorizadas que comprometan el cronograma o el presupuesto aprobado.</w:t>
      </w:r>
    </w:p>
    <w:p w:rsidR="00000000" w:rsidDel="00000000" w:rsidP="00000000" w:rsidRDefault="00000000" w:rsidRPr="00000000" w14:paraId="00000027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Capacidad de reconstrucción y auditoría </w:t>
      </w:r>
      <w:r w:rsidDel="00000000" w:rsidR="00000000" w:rsidRPr="00000000">
        <w:rPr>
          <w:rtl w:val="0"/>
        </w:rPr>
        <w:t xml:space="preserve">de cualquier versión previa del sistema o de sus documentos, aspecto clave para el cierre formal de cada hito (v0.1-hito1, v0.5-hito2) y la liberación controlada del release v1.0.</w:t>
      </w:r>
    </w:p>
    <w:p w:rsidR="00000000" w:rsidDel="00000000" w:rsidP="00000000" w:rsidRDefault="00000000" w:rsidRPr="00000000" w14:paraId="00000028">
      <w:pPr>
        <w:spacing w:after="1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Soporte a la reproducibilidad del entorno: </w:t>
      </w:r>
      <w:r w:rsidDel="00000000" w:rsidR="00000000" w:rsidRPr="00000000">
        <w:rPr>
          <w:rtl w:val="0"/>
        </w:rPr>
        <w:t xml:space="preserve">estandarización del entorno de ejecución mediante contenedores Docker (docker-compose.yml) y cumplimiento de la trazabilidad exigida por el marco metodológico de la organización.</w:t>
      </w:r>
    </w:p>
    <w:p w:rsidR="00000000" w:rsidDel="00000000" w:rsidP="00000000" w:rsidRDefault="00000000" w:rsidRPr="00000000" w14:paraId="00000029">
      <w:pPr>
        <w:pStyle w:val="Heading1"/>
        <w:keepNext w:val="1"/>
        <w:pageBreakBefore w:val="1"/>
        <w:widowControl w:val="1"/>
        <w:spacing w:after="160" w:before="0" w:line="26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 Benchmarking de plataformas para la gestión de la configuración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pageBreakBefore w:val="0"/>
        <w:widowControl w:val="1"/>
        <w:spacing w:after="140" w:line="26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Se propone mantener GitHub como plataforma central de los repositorios de Nexosoft consulting. Para fundamentar esta decisión se comparan GitHub, GitLab.com y Bitbucket Cloud con el método de matriz de confrontación y evaluación ponderada empleado por Huaroto, Wong y Alvarado. El análisis considera los proyectos FERREMAX, SALI y TRLOG y toma como referencia el equipo de seis integrantes de FERREMAX.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pageBreakBefore w:val="0"/>
        <w:widowControl w:val="1"/>
        <w:spacing w:after="140" w:line="26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Git es el sistema de control de versiones común a las tres alternativas; las plataformas añaden colaboración, revisión de cambios y automatización. Por ello, se comparan plataformas de alojamiento y gestión de repositorios Git, en lugar de enfrentar Git con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1"/>
        <w:pageBreakBefore w:val="0"/>
        <w:widowControl w:val="1"/>
        <w:spacing w:after="160" w:before="240" w:line="26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2.1 Alternativas evaluadas</w:t>
      </w:r>
      <w:r w:rsidDel="00000000" w:rsidR="00000000" w:rsidRPr="00000000">
        <w:rPr>
          <w:rtl w:val="0"/>
        </w:rPr>
      </w:r>
    </w:p>
    <w:tbl>
      <w:tblPr>
        <w:tblStyle w:val="Table1"/>
        <w:tblW w:w="8424.0" w:type="dxa"/>
        <w:jc w:val="center"/>
        <w:tblLayout w:type="fixed"/>
        <w:tblLook w:val="0400"/>
      </w:tblPr>
      <w:tblGrid>
        <w:gridCol w:w="1800"/>
        <w:gridCol w:w="6624"/>
        <w:tblGridChange w:id="0">
          <w:tblGrid>
            <w:gridCol w:w="1800"/>
            <w:gridCol w:w="66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ef5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Alternativa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ef5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Aplicación al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Repositorios Git, pull requests y GitHub Actions. Es la plataforma contemplada en el plan y en el acta de FERREMAX.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GitLab.com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Repositorios Git, merge requests y GitLab CI/CD. Supone trasladar los repositorios y adaptar la gestión del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Bitbucket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Repositorios Git, pull requests y Bitbucket Pipelines. Supone trasladar los repositorios y adaptar la gestión del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keepNext w:val="1"/>
        <w:pageBreakBefore w:val="0"/>
        <w:widowControl w:val="1"/>
        <w:spacing w:after="160" w:before="160" w:line="26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2.2 Criterios de evaluación</w:t>
      </w:r>
      <w:r w:rsidDel="00000000" w:rsidR="00000000" w:rsidRPr="00000000">
        <w:rPr>
          <w:rtl w:val="0"/>
        </w:rPr>
      </w:r>
    </w:p>
    <w:tbl>
      <w:tblPr>
        <w:tblStyle w:val="Table2"/>
        <w:tblW w:w="8424.0" w:type="dxa"/>
        <w:jc w:val="center"/>
        <w:tblLayout w:type="fixed"/>
        <w:tblLook w:val="0400"/>
      </w:tblPr>
      <w:tblGrid>
        <w:gridCol w:w="691"/>
        <w:gridCol w:w="2016"/>
        <w:gridCol w:w="5717"/>
        <w:tblGridChange w:id="0">
          <w:tblGrid>
            <w:gridCol w:w="691"/>
            <w:gridCol w:w="2016"/>
            <w:gridCol w:w="571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ef5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ef5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ef5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Qué se evalúa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Adaptabilidad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Encaje con los repositorios actuales, las ramas main, develop y feature/* y los artefactos de código, base de datos y documentación.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Cobertura del PGC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Historial de versiones, identificación de responsables, revisión de cambios y recuperación de líneas base mediante tags.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Automatización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Posibilidad de ejecutar pruebas y verificaciones de integración antes de liberar una versión.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Viabilidad de adopción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Esfuerzo de capacitación, migración y administración, junto con las condiciones del plan para el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pageBreakBefore w:val="0"/>
        <w:widowControl w:val="1"/>
        <w:spacing w:after="140" w:before="160" w:line="26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La cobertura del PGC tiene mayor prioridad porque atiende el problema de versiones desincronizadas y cambios sin autorización. La adaptabilidad ocupa el segundo lugar para conservar la continuidad de los tres proyectos. La automatización y la viabilidad de adopción se consideran igualmente importantes en esta propuesta.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1"/>
        <w:pageBreakBefore w:val="1"/>
        <w:widowControl w:val="1"/>
        <w:spacing w:after="160" w:before="240" w:line="26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2.3 Matriz de confrontación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pageBreakBefore w:val="0"/>
        <w:widowControl w:val="1"/>
        <w:spacing w:after="140" w:line="26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Según Huaroto et al., se asigna 1 si el criterio de la fila es más o igualmente importante que el de la columna, y 0 si es menos importante. Se excluye la diagonal; los empates reciben 1 en ambas direcciones. Las prioridades propuestas requieren validación del equipo.</w:t>
      </w:r>
      <w:r w:rsidDel="00000000" w:rsidR="00000000" w:rsidRPr="00000000">
        <w:rPr>
          <w:rtl w:val="0"/>
        </w:rPr>
      </w:r>
    </w:p>
    <w:tbl>
      <w:tblPr>
        <w:tblStyle w:val="Table3"/>
        <w:tblW w:w="7560.0" w:type="dxa"/>
        <w:jc w:val="center"/>
        <w:tblLayout w:type="fixed"/>
        <w:tblLook w:val="0400"/>
      </w:tblPr>
      <w:tblGrid>
        <w:gridCol w:w="1440"/>
        <w:gridCol w:w="864"/>
        <w:gridCol w:w="864"/>
        <w:gridCol w:w="864"/>
        <w:gridCol w:w="864"/>
        <w:gridCol w:w="1152"/>
        <w:gridCol w:w="1512"/>
        <w:tblGridChange w:id="0">
          <w:tblGrid>
            <w:gridCol w:w="1440"/>
            <w:gridCol w:w="864"/>
            <w:gridCol w:w="864"/>
            <w:gridCol w:w="864"/>
            <w:gridCol w:w="864"/>
            <w:gridCol w:w="1152"/>
            <w:gridCol w:w="15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ef5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ef5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ef5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ef5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ef5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ef5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ef5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28,57 %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42,86 %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14,29 %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14,29 %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0"/>
        <w:pageBreakBefore w:val="0"/>
        <w:widowControl w:val="1"/>
        <w:spacing w:after="140" w:before="160" w:line="26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El peso es el total de cada fila dividido entre 7. Los cálculos emplean las fracciones exactas 2/7, 3/7, 1/7 y 1/7; se muestran porcentajes redondeados. T2 tiene el mayor peso: 42,86 %.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1"/>
        <w:pageBreakBefore w:val="0"/>
        <w:widowControl w:val="1"/>
        <w:spacing w:after="160" w:before="240" w:line="26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2.4 Evaluación ponderada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pageBreakBefore w:val="0"/>
        <w:widowControl w:val="1"/>
        <w:spacing w:after="140" w:line="26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Escala: 1 = ajuste muy bajo; 2 = bajo; 3 = medio; 4 = alto; 5 = muy alto. Las notas son una valoración documental propuesta para el PGC, sin pruebas de rendimiento ni encuestas al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pageBreakBefore w:val="0"/>
        <w:widowControl w:val="1"/>
        <w:spacing w:after="140" w:line="26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P es la puntuación y A su aporte ponderado: A = P × peso. El total suma los aportes. T2 supone contratar el plan que habilite los controles obligatorios indicados en la sección 2.5.</w:t>
      </w:r>
      <w:r w:rsidDel="00000000" w:rsidR="00000000" w:rsidRPr="00000000">
        <w:rPr>
          <w:rtl w:val="0"/>
        </w:rPr>
      </w:r>
    </w:p>
    <w:tbl>
      <w:tblPr>
        <w:tblStyle w:val="Table4"/>
        <w:tblW w:w="8425.0" w:type="dxa"/>
        <w:jc w:val="center"/>
        <w:tblLayout w:type="fixed"/>
        <w:tblLook w:val="0400"/>
      </w:tblPr>
      <w:tblGrid>
        <w:gridCol w:w="936"/>
        <w:gridCol w:w="1152"/>
        <w:gridCol w:w="965"/>
        <w:gridCol w:w="1008"/>
        <w:gridCol w:w="1037"/>
        <w:gridCol w:w="1037"/>
        <w:gridCol w:w="1152"/>
        <w:gridCol w:w="1138"/>
        <w:tblGridChange w:id="0">
          <w:tblGrid>
            <w:gridCol w:w="936"/>
            <w:gridCol w:w="1152"/>
            <w:gridCol w:w="965"/>
            <w:gridCol w:w="1008"/>
            <w:gridCol w:w="1037"/>
            <w:gridCol w:w="1037"/>
            <w:gridCol w:w="1152"/>
            <w:gridCol w:w="11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ef5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ef5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ef5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GitHub</w:t>
              <w:br w:type="textWrapping"/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ef5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GitHub</w:t>
              <w:br w:type="textWrapping"/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ef5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GitLab</w:t>
              <w:br w:type="textWrapping"/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ef5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GitLab</w:t>
              <w:br w:type="textWrapping"/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ef5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Bitbucket</w:t>
              <w:br w:type="textWrapping"/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ef5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Bitbucket</w:t>
              <w:br w:type="textWrapping"/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28,57 %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42,86 %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2,14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2,14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2,14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14,29 %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14,29 %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4,86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4,43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before="4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4,43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keepNext w:val="0"/>
        <w:pageBreakBefore w:val="0"/>
        <w:widowControl w:val="1"/>
        <w:spacing w:after="140" w:before="160" w:line="26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Ejemplo de cálculo: el aporte de T1 para GitHub es 5 × (2/7) = 1,43. Su resultado total es (5 × 2 + 5 × 3 + 5 × 1 + 4 × 1) / 7 = 4,86 sobre 5. GitLab.com y Bitbucket Cloud obtienen 4,43; el empate refleja el mismo ajuste estimado para este contexto.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1"/>
        <w:pageBreakBefore w:val="1"/>
        <w:widowControl w:val="1"/>
        <w:spacing w:after="160" w:before="240" w:line="26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2.5 Justificación de las puntuaciones y condiciones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pageBreakBefore w:val="0"/>
        <w:widowControl w:val="1"/>
        <w:spacing w:after="140" w:line="26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T1 Adaptabilidad. GitHub recibe 5 porque el PGC y el acta de FERREMAX ya lo incorporan. GitLab y Bitbucket reciben 4: permiten conservar Git y el esquema de ramas, pero requieren trasladar repositorios y adaptar referencias y procedimientos. Esta diferencia corresponde al encaje con Nexosoft, no a una limitación del control de versiones de las alternativas.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pageBreakBefore w:val="0"/>
        <w:widowControl w:val="1"/>
        <w:spacing w:after="140" w:line="26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T2 Cobertura del PGC. Las tres reciben 5 por ofrecer historial Git y revisión de cambios; las líneas base pueden identificarse mediante tags. Para exigir las revisiones en repositorios privados de una organización, GitHub contempla GitHub Team. GitLab reserva las aprobaciones obligatorias para Premium o Ultimate. Bitbucket ofrece la imposición de comprobaciones de fusión en Premium. La puntuación supone habilitar y configurar estos controles.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pageBreakBefore w:val="0"/>
        <w:widowControl w:val="1"/>
        <w:spacing w:after="140" w:line="26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T3 Automatización. Las tres reciben 5 porque cuentan con soluciones de integración continua: GitHub Actions, GitLab CI/CD y Bitbucket Pipelines. El equipo debe configurar los flujos para ejecutar las pruebas de FERREMAX y revisar las cuotas de ejecución del plan elegido. Esta nota valora la existencia de la capacidad, sin afirmar que los flujos ya estén implementados.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pageBreakBefore w:val="0"/>
        <w:widowControl w:val="1"/>
        <w:spacing w:after="140" w:line="26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T4 Viabilidad de adopción. GitHub recibe 4 por evitar la migración prevista en las otras alternativas, aunque habilitar controles obligatorios en repositorios privados de una organización puede requerir una suscripción. GitLab y Bitbucket reciben 3 por el esfuerzo adicional de traslado y adaptación. Son estimaciones cualitativas: no sustituyen una cotización ni una medición de capacitación.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pageBreakBefore w:val="0"/>
        <w:widowControl w:val="1"/>
        <w:spacing w:after="140" w:line="26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Para los seis integrantes de FERREMAX, GitHub Free admite colaboradores sin ese límite numérico, pero sus repositorios privados tienen funciones limitadas. GitLab.com Free limita a cinco usuarios los grupos superiores privados; el límite no se aplica de la misma forma a proyectos personales, grupos públicos o programas elegibles. Bitbucket Free admite hasta cinco usuarios y dispone de modalidades académicas sujetas a sus condiciones. La propuesta empresarial evalúa repositorios privados de organización y no presupone acceso a beneficios académicos.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1"/>
        <w:pageBreakBefore w:val="0"/>
        <w:widowControl w:val="1"/>
        <w:spacing w:after="160" w:before="240" w:line="26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2.6 Selección y aplicación al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pageBreakBefore w:val="0"/>
        <w:widowControl w:val="1"/>
        <w:spacing w:after="140" w:line="26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GitHub obtiene el mayor resultado propuesto, 4,86 sobre 5, frente a 4,43 de GitLab.com y Bitbucket Cloud. Se recomienda mantener Git con GitHub y definir el plan de servicio según los controles exigidos. Para los repositorios privados de la consultora con revisiones obligatorias y protección de ramas, se propone GitHub Team, sujeto a evaluación presupuestal; GitHub Free no debe presentarse como equivalente en ese escenario.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pageBreakBefore w:val="0"/>
        <w:widowControl w:val="1"/>
        <w:spacing w:after="140" w:line="26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La aplicación del resultado al PGC comprende un repositorio por proyecto; ramas main, develop y feature/*; una solicitud de cambio vinculada a cada pull request; revisión por un integrante distinto del autor; y tags para las líneas base de los hitos. En FERREMAX se mantienen v0.1-hito1, v0.5-hito2 y v1.0. La aprobación de cambios de alcance debe registrarse según el procedimiento del PGC, además de la revisión técnica del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1"/>
        <w:keepLines w:val="0"/>
        <w:pageBreakBefore w:val="1"/>
        <w:widowControl w:val="1"/>
        <w:spacing w:after="160" w:before="0" w:line="259" w:lineRule="auto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 Equipo de gestión de la configuración</w:t>
      </w:r>
      <w:r w:rsidDel="00000000" w:rsidR="00000000" w:rsidRPr="00000000">
        <w:rPr>
          <w:rtl w:val="0"/>
        </w:rPr>
      </w:r>
    </w:p>
    <w:sdt>
      <w:sdtPr>
        <w:lock w:val="contentLocked"/>
        <w:id w:val="-1083509705"/>
        <w:tag w:val="goog_rdk_0"/>
      </w:sdtPr>
      <w:sdtContent>
        <w:tbl>
          <w:tblPr>
            <w:tblStyle w:val="Table5"/>
            <w:tblW w:w="7020.0" w:type="dxa"/>
            <w:jc w:val="left"/>
            <w:tblInd w:w="14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95"/>
            <w:gridCol w:w="4185"/>
            <w:gridCol w:w="2340"/>
            <w:tblGridChange w:id="0">
              <w:tblGrid>
                <w:gridCol w:w="495"/>
                <w:gridCol w:w="4185"/>
                <w:gridCol w:w="23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#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Rol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Nombres y apellidos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Responsable del gestion de configuracion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Joseph Leonel Huancas Castillejo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Responsable de intergraciones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Jose Francisco Mallqui Meza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 del repositorio git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Maximo Lenny Roman Hurtado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Auditor de configuracion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Roberto Antonio Vegas Villalva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Coordinador de control de cambios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Renzo Pedro Cordero Alfaro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Responsable de documentacion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Erick Martin Alegre Mayanga</w:t>
                </w:r>
              </w:p>
            </w:tc>
          </w:tr>
        </w:tbl>
      </w:sdtContent>
    </w:sdt>
    <w:p w:rsidR="00000000" w:rsidDel="00000000" w:rsidP="00000000" w:rsidRDefault="00000000" w:rsidRPr="00000000" w14:paraId="000000C6">
      <w:pPr>
        <w:pStyle w:val="Heading1"/>
        <w:keepNext w:val="1"/>
        <w:pageBreakBefore w:val="1"/>
        <w:spacing w:after="160" w:before="0" w:lineRule="auto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 Clasificación de los elementos de configuración</w:t>
      </w:r>
      <w:r w:rsidDel="00000000" w:rsidR="00000000" w:rsidRPr="00000000">
        <w:rPr>
          <w:rtl w:val="0"/>
        </w:rPr>
      </w:r>
    </w:p>
    <w:tbl>
      <w:tblPr>
        <w:tblStyle w:val="Table6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2460"/>
        <w:gridCol w:w="1605"/>
        <w:gridCol w:w="1095"/>
        <w:gridCol w:w="1365"/>
        <w:tblGridChange w:id="0">
          <w:tblGrid>
            <w:gridCol w:w="1905"/>
            <w:gridCol w:w="2460"/>
            <w:gridCol w:w="1605"/>
            <w:gridCol w:w="1095"/>
            <w:gridCol w:w="136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76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  <w:p w:rsidR="00000000" w:rsidDel="00000000" w:rsidP="00000000" w:rsidRDefault="00000000" w:rsidRPr="00000000" w14:paraId="000000C8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E: Evolucion, F: Fuente: Soporte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276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Nombre del Item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76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Nomenclatura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76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Extension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76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Acta de Constitucion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FMX_ACP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Cronograma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FMX_CDP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xlsx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de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FMX_DN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Repositorio y guia de contribucion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FMX_RGC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Paquete de configuracion Docker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de requisitos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FMX_LRS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xlsx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de requisitos no funcionales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FMX_RNF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xlsx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FMX_CU1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FMX_CU2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FMX_CU3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FMX_CU4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FMX_CU5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FMX_CU6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FMX_CU7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FMX_CU8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FMX_CU9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Matriz de trazabilidad RF ↔ 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Acta de revision por pares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FMX_ARP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Entregable del Hito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FMX_H1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de arquitectura del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 1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feature/cu_1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feature/cu_2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 3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feature/cu_3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 4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feature/cu_4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 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feature/cu_5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 6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feature/cu_6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 7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feature/cu_7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 8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feature/cu_8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 9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feature/cu_9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Rama de integracion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Entregable del Hito 2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FMX_H2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FMX_MU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 tecnico de despliegue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FMX_MTD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 de pruebas y casos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FMX_PCP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Suite de pruebas unitarias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tests/Unit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Informe de pruebas de integracion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FMX_IPI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Informe de pruebas de concurrencia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FMX_IPC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Informe de pruebas de 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defectos y correccion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FMX_RDF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xlsx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Release del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de cierre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FMX_DCP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Presentacion de sustentacion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FMX_PSF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pptx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FMX</w:t>
            </w:r>
          </w:p>
        </w:tc>
      </w:tr>
    </w:tbl>
    <w:p w:rsidR="00000000" w:rsidDel="00000000" w:rsidP="00000000" w:rsidRDefault="00000000" w:rsidRPr="00000000" w14:paraId="0000019F">
      <w:pPr>
        <w:pStyle w:val="Heading1"/>
        <w:keepNext w:val="1"/>
        <w:pageBreakBefore w:val="1"/>
        <w:spacing w:after="160" w:before="160" w:lineRule="auto"/>
        <w:jc w:val="left"/>
        <w:rPr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 Nomenclatura de los elementos de configuración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1"/>
        <w:pageBreakBefore w:val="0"/>
        <w:spacing w:after="160" w:before="240" w:lineRule="auto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5.1 Nomenclatura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ACRÓNIMO DEL PROYECTO + “_”+ ACRONIMO DEL ELEMENTO </w:t>
      </w:r>
    </w:p>
    <w:p w:rsidR="00000000" w:rsidDel="00000000" w:rsidP="00000000" w:rsidRDefault="00000000" w:rsidRPr="00000000" w14:paraId="000001A2">
      <w:pPr>
        <w:pStyle w:val="Heading2"/>
        <w:keepNext w:val="1"/>
        <w:keepLines w:val="0"/>
        <w:pageBreakBefore w:val="0"/>
        <w:widowControl w:val="1"/>
        <w:spacing w:after="160" w:before="240" w:line="259" w:lineRule="auto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5.2 Nomenclatura de especificaciones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ACRÓNIMO DEL PROYECTO + “_”+ ACRONIMO DEL ELEMENTO + “_”+ NUMERACION</w:t>
      </w:r>
    </w:p>
    <w:p w:rsidR="00000000" w:rsidDel="00000000" w:rsidP="00000000" w:rsidRDefault="00000000" w:rsidRPr="00000000" w14:paraId="000001A4">
      <w:pPr>
        <w:pStyle w:val="Heading2"/>
        <w:keepNext w:val="1"/>
        <w:keepLines w:val="0"/>
        <w:pageBreakBefore w:val="0"/>
        <w:widowControl w:val="1"/>
        <w:spacing w:after="160" w:before="240" w:line="259" w:lineRule="auto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5.3 Nomenclatura de elementos repetidos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ACRÓNIMO DEL PROYECTO + “_”+ ACRONIMO DEL ELEMENTO + “1  LETRA”</w:t>
      </w:r>
    </w:p>
    <w:p w:rsidR="00000000" w:rsidDel="00000000" w:rsidP="00000000" w:rsidRDefault="00000000" w:rsidRPr="00000000" w14:paraId="000001A6">
      <w:pPr>
        <w:pStyle w:val="Heading1"/>
        <w:keepNext w:val="1"/>
        <w:keepLines w:val="0"/>
        <w:pageBreakBefore w:val="1"/>
        <w:widowControl w:val="1"/>
        <w:spacing w:after="160" w:before="0" w:line="259" w:lineRule="auto"/>
        <w:jc w:val="left"/>
        <w:rPr>
          <w:sz w:val="20"/>
          <w:szCs w:val="20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6 Estructura del repositorio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</w:rPr>
        <w:drawing>
          <wp:inline distB="114300" distT="114300" distL="114300" distR="114300">
            <wp:extent cx="5303520" cy="2507217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07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7607A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7607A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7607A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7607AE"/>
    <w:rPr>
      <w:rFonts w:asciiTheme="majorHAnsi" w:cstheme="majorBidi" w:eastAsiaTheme="majorEastAsia" w:hAnsiTheme="majorHAnsi"/>
      <w:noProof w:val="1"/>
      <w:color w:val="2f5496" w:themeColor="accent1" w:themeShade="0000BF"/>
      <w:sz w:val="40"/>
      <w:szCs w:val="40"/>
      <w:lang w:val="en-GB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7607AE"/>
    <w:rPr>
      <w:rFonts w:asciiTheme="majorHAnsi" w:cstheme="majorBidi" w:eastAsiaTheme="majorEastAsia" w:hAnsiTheme="majorHAnsi"/>
      <w:noProof w:val="1"/>
      <w:color w:val="2f5496" w:themeColor="accent1" w:themeShade="0000BF"/>
      <w:sz w:val="32"/>
      <w:szCs w:val="32"/>
      <w:lang w:val="en-GB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7607AE"/>
    <w:rPr>
      <w:rFonts w:cstheme="majorBidi" w:eastAsiaTheme="majorEastAsia"/>
      <w:noProof w:val="1"/>
      <w:color w:val="2f5496" w:themeColor="accent1" w:themeShade="0000BF"/>
      <w:sz w:val="28"/>
      <w:szCs w:val="28"/>
      <w:lang w:val="en-GB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607AE"/>
    <w:rPr>
      <w:rFonts w:cstheme="majorBidi" w:eastAsiaTheme="majorEastAsia"/>
      <w:i w:val="1"/>
      <w:iCs w:val="1"/>
      <w:noProof w:val="1"/>
      <w:color w:val="2f5496" w:themeColor="accent1" w:themeShade="0000BF"/>
      <w:lang w:val="en-GB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7607AE"/>
    <w:rPr>
      <w:rFonts w:cstheme="majorBidi" w:eastAsiaTheme="majorEastAsia"/>
      <w:noProof w:val="1"/>
      <w:color w:val="2f5496" w:themeColor="accent1" w:themeShade="0000BF"/>
      <w:lang w:val="en-GB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7607AE"/>
    <w:rPr>
      <w:rFonts w:cstheme="majorBidi" w:eastAsiaTheme="majorEastAsia"/>
      <w:i w:val="1"/>
      <w:iCs w:val="1"/>
      <w:noProof w:val="1"/>
      <w:color w:val="595959" w:themeColor="text1" w:themeTint="0000A6"/>
      <w:lang w:val="en-GB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7607AE"/>
    <w:rPr>
      <w:rFonts w:cstheme="majorBidi" w:eastAsiaTheme="majorEastAsia"/>
      <w:noProof w:val="1"/>
      <w:color w:val="595959" w:themeColor="text1" w:themeTint="0000A6"/>
      <w:lang w:val="en-GB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7607AE"/>
    <w:rPr>
      <w:rFonts w:cstheme="majorBidi" w:eastAsiaTheme="majorEastAsia"/>
      <w:i w:val="1"/>
      <w:iCs w:val="1"/>
      <w:noProof w:val="1"/>
      <w:color w:val="272727" w:themeColor="text1" w:themeTint="0000D8"/>
      <w:lang w:val="en-GB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7607AE"/>
    <w:rPr>
      <w:rFonts w:cstheme="majorBidi" w:eastAsiaTheme="majorEastAsia"/>
      <w:noProof w:val="1"/>
      <w:color w:val="272727" w:themeColor="text1" w:themeTint="0000D8"/>
      <w:lang w:val="en-GB"/>
    </w:rPr>
  </w:style>
  <w:style w:type="character" w:styleId="TtuloCar" w:customStyle="1">
    <w:name w:val="Título Car"/>
    <w:basedOn w:val="Fuentedeprrafopredeter"/>
    <w:link w:val="Ttulo"/>
    <w:uiPriority w:val="10"/>
    <w:rsid w:val="007607AE"/>
    <w:rPr>
      <w:rFonts w:asciiTheme="majorHAnsi" w:cstheme="majorBidi" w:eastAsiaTheme="majorEastAsia" w:hAnsiTheme="majorHAnsi"/>
      <w:noProof w:val="1"/>
      <w:spacing w:val="-10"/>
      <w:kern w:val="28"/>
      <w:sz w:val="56"/>
      <w:szCs w:val="56"/>
      <w:lang w:val="en-GB"/>
    </w:rPr>
  </w:style>
  <w:style w:type="character" w:styleId="SubttuloCar" w:customStyle="1">
    <w:name w:val="Subtítulo Car"/>
    <w:basedOn w:val="Fuentedeprrafopredeter"/>
    <w:link w:val="Subttulo"/>
    <w:uiPriority w:val="11"/>
    <w:rsid w:val="007607AE"/>
    <w:rPr>
      <w:rFonts w:cstheme="majorBidi" w:eastAsiaTheme="majorEastAsia"/>
      <w:noProof w:val="1"/>
      <w:color w:val="595959" w:themeColor="text1" w:themeTint="0000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 w:val="1"/>
    <w:rsid w:val="007607A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7607AE"/>
    <w:rPr>
      <w:i w:val="1"/>
      <w:iCs w:val="1"/>
      <w:noProof w:val="1"/>
      <w:color w:val="404040" w:themeColor="text1" w:themeTint="0000BF"/>
      <w:lang w:val="en-GB"/>
    </w:rPr>
  </w:style>
  <w:style w:type="paragraph" w:styleId="Prrafodelista">
    <w:name w:val="List Paragraph"/>
    <w:basedOn w:val="Normal"/>
    <w:uiPriority w:val="34"/>
    <w:qFormat w:val="1"/>
    <w:rsid w:val="007607AE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7607AE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7607A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607AE"/>
    <w:rPr>
      <w:i w:val="1"/>
      <w:iCs w:val="1"/>
      <w:noProof w:val="1"/>
      <w:color w:val="2f5496" w:themeColor="accent1" w:themeShade="0000BF"/>
      <w:lang w:val="en-GB"/>
    </w:rPr>
  </w:style>
  <w:style w:type="character" w:styleId="Referenciaintensa">
    <w:name w:val="Intense Reference"/>
    <w:basedOn w:val="Fuentedeprrafopredeter"/>
    <w:uiPriority w:val="32"/>
    <w:qFormat w:val="1"/>
    <w:rsid w:val="007607AE"/>
    <w:rPr>
      <w:b w:val="1"/>
      <w:bCs w:val="1"/>
      <w:smallCaps w:val="1"/>
      <w:color w:val="2f5496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+uOF8/RLDQshsWuHsJ+IqVa0+w==">CgMxLjAaHwoBMBIaChgICVIUChJ0YWJsZS5jcmlqNW9hdGI5b3Q4AHIhMXctaHQ0LUtWeWhJZ2drT0VoOU1QeS13MWo3V2l2a0dY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2024-08-22T20:18:00Z</dcterms:created>
  <dc:creator>Lenis Rossi Wong Portillo</dc:creator>
</cp:coreProperties>
</file>