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03F7" w:rsidRDefault="00A303F7" w:rsidP="00A303F7">
      <w:pPr>
        <w:spacing w:after="60" w:line="276" w:lineRule="auto"/>
        <w:jc w:val="center"/>
        <w:rPr>
          <w:rFonts w:ascii="Times New Roman" w:hAnsi="Times New Roman" w:cs="Times New Roman"/>
          <w:b/>
          <w:color w:val="1E3A2B"/>
          <w:sz w:val="36"/>
        </w:rPr>
      </w:pPr>
      <w:r w:rsidRPr="00A303F7">
        <w:rPr>
          <w:rFonts w:ascii="Times New Roman" w:hAnsi="Times New Roman" w:cs="Times New Roman"/>
          <w:b/>
          <w:color w:val="1E3A2B"/>
          <w:sz w:val="36"/>
        </w:rPr>
        <w:t>UNIVERSIDAD PRIVADA DE TACNA</w:t>
      </w:r>
    </w:p>
    <w:p w:rsidR="00A303F7" w:rsidRDefault="00A303F7" w:rsidP="00A303F7">
      <w:pPr>
        <w:spacing w:after="60" w:line="276" w:lineRule="auto"/>
        <w:jc w:val="center"/>
        <w:rPr>
          <w:rFonts w:ascii="Times New Roman" w:hAnsi="Times New Roman" w:cs="Times New Roman"/>
          <w:b/>
          <w:color w:val="1E3A2B"/>
          <w:sz w:val="30"/>
        </w:rPr>
      </w:pPr>
      <w:r w:rsidRPr="00A303F7">
        <w:rPr>
          <w:rFonts w:ascii="Times New Roman" w:hAnsi="Times New Roman" w:cs="Times New Roman"/>
          <w:b/>
          <w:color w:val="1E3A2B"/>
          <w:sz w:val="30"/>
        </w:rPr>
        <w:t>FACULTAD DE INGENIERÍA</w:t>
      </w:r>
    </w:p>
    <w:p w:rsidR="00A303F7" w:rsidRDefault="00A303F7" w:rsidP="00A303F7">
      <w:pPr>
        <w:spacing w:after="720" w:line="276" w:lineRule="auto"/>
        <w:jc w:val="center"/>
        <w:rPr>
          <w:rFonts w:ascii="Times New Roman" w:hAnsi="Times New Roman" w:cs="Times New Roman"/>
          <w:b/>
          <w:color w:val="444444"/>
          <w:sz w:val="26"/>
        </w:rPr>
      </w:pPr>
      <w:r w:rsidRPr="00A303F7">
        <w:rPr>
          <w:rFonts w:ascii="Times New Roman" w:hAnsi="Times New Roman" w:cs="Times New Roman"/>
          <w:b/>
          <w:color w:val="444444"/>
          <w:sz w:val="26"/>
        </w:rPr>
        <w:t>Escuela Profesional de Ingeniería de Sistemas</w:t>
      </w:r>
    </w:p>
    <w:p w:rsidR="00A303F7" w:rsidRDefault="00A303F7" w:rsidP="00A303F7">
      <w:pPr>
        <w:spacing w:after="80" w:line="276" w:lineRule="auto"/>
        <w:jc w:val="center"/>
        <w:rPr>
          <w:rFonts w:ascii="Times New Roman" w:hAnsi="Times New Roman" w:cs="Times New Roman"/>
          <w:b/>
          <w:color w:val="555555"/>
        </w:rPr>
      </w:pPr>
      <w:r w:rsidRPr="00A303F7">
        <w:rPr>
          <w:rFonts w:ascii="Times New Roman" w:hAnsi="Times New Roman" w:cs="Times New Roman"/>
          <w:b/>
          <w:color w:val="555555"/>
        </w:rPr>
        <w:t>PROYECTO:</w:t>
      </w:r>
    </w:p>
    <w:p w:rsidR="00A303F7" w:rsidRDefault="00A303F7" w:rsidP="00A303F7">
      <w:pPr>
        <w:spacing w:after="360" w:line="276" w:lineRule="auto"/>
        <w:jc w:val="center"/>
        <w:rPr>
          <w:rFonts w:ascii="Times New Roman" w:hAnsi="Times New Roman" w:cs="Times New Roman"/>
          <w:b/>
          <w:color w:val="1E3A2B"/>
          <w:sz w:val="29"/>
        </w:rPr>
      </w:pPr>
      <w:r w:rsidRPr="00A303F7">
        <w:rPr>
          <w:rFonts w:ascii="Times New Roman" w:hAnsi="Times New Roman" w:cs="Times New Roman"/>
          <w:b/>
          <w:color w:val="1E3A2B"/>
          <w:sz w:val="29"/>
        </w:rPr>
        <w:t>«Plataforma web para la comercialización y revalorización de productos perecibles orientada al consumo sostenible en la provincia de Tacna»</w:t>
      </w:r>
    </w:p>
    <w:p w:rsidR="00A303F7" w:rsidRDefault="00A303F7" w:rsidP="00A303F7">
      <w:pPr>
        <w:spacing w:after="60" w:line="276" w:lineRule="auto"/>
        <w:jc w:val="center"/>
        <w:rPr>
          <w:rFonts w:ascii="Times New Roman" w:hAnsi="Times New Roman" w:cs="Times New Roman"/>
          <w:b/>
          <w:color w:val="333333"/>
          <w:sz w:val="26"/>
        </w:rPr>
      </w:pPr>
      <w:r w:rsidRPr="00A303F7">
        <w:rPr>
          <w:rFonts w:ascii="Times New Roman" w:hAnsi="Times New Roman" w:cs="Times New Roman"/>
          <w:b/>
          <w:color w:val="333333"/>
          <w:sz w:val="26"/>
        </w:rPr>
        <w:t>FORMATO FD02</w:t>
      </w:r>
    </w:p>
    <w:p w:rsidR="00A303F7" w:rsidRDefault="00A303F7" w:rsidP="00A303F7">
      <w:pPr>
        <w:spacing w:after="600" w:line="276" w:lineRule="auto"/>
        <w:jc w:val="center"/>
        <w:rPr>
          <w:rFonts w:ascii="Times New Roman" w:hAnsi="Times New Roman" w:cs="Times New Roman"/>
          <w:b/>
          <w:color w:val="1E3A2B"/>
          <w:sz w:val="34"/>
        </w:rPr>
      </w:pPr>
      <w:r w:rsidRPr="00A303F7">
        <w:rPr>
          <w:rFonts w:ascii="Times New Roman" w:hAnsi="Times New Roman" w:cs="Times New Roman"/>
          <w:b/>
          <w:color w:val="1E3A2B"/>
          <w:sz w:val="34"/>
        </w:rPr>
        <w:t>DOCUMENTO DE VISIÓN</w:t>
      </w:r>
    </w:p>
    <w:p w:rsidR="00A303F7" w:rsidRDefault="00A303F7" w:rsidP="00A303F7">
      <w:pPr>
        <w:spacing w:after="40" w:line="276" w:lineRule="auto"/>
        <w:jc w:val="center"/>
        <w:rPr>
          <w:rFonts w:ascii="Times New Roman" w:hAnsi="Times New Roman" w:cs="Times New Roman"/>
          <w:b/>
          <w:color w:val="333333"/>
        </w:rPr>
      </w:pPr>
      <w:r w:rsidRPr="00A303F7">
        <w:rPr>
          <w:rFonts w:ascii="Times New Roman" w:hAnsi="Times New Roman" w:cs="Times New Roman"/>
          <w:b/>
          <w:color w:val="333333"/>
        </w:rPr>
        <w:t>Curso:</w:t>
      </w:r>
    </w:p>
    <w:p w:rsidR="00A303F7" w:rsidRDefault="00A303F7" w:rsidP="00A303F7">
      <w:pPr>
        <w:spacing w:after="280" w:line="276" w:lineRule="auto"/>
        <w:jc w:val="center"/>
        <w:rPr>
          <w:rFonts w:ascii="Times New Roman" w:hAnsi="Times New Roman" w:cs="Times New Roman"/>
          <w:color w:val="111111"/>
          <w:sz w:val="26"/>
        </w:rPr>
      </w:pPr>
      <w:r w:rsidRPr="00A303F7">
        <w:rPr>
          <w:rFonts w:ascii="Times New Roman" w:hAnsi="Times New Roman" w:cs="Times New Roman"/>
          <w:color w:val="111111"/>
          <w:sz w:val="26"/>
        </w:rPr>
        <w:t>Construcción de Software I</w:t>
      </w:r>
    </w:p>
    <w:p w:rsidR="00A303F7" w:rsidRDefault="00A303F7" w:rsidP="00A303F7">
      <w:pPr>
        <w:spacing w:after="40" w:line="276" w:lineRule="auto"/>
        <w:jc w:val="center"/>
        <w:rPr>
          <w:rFonts w:ascii="Times New Roman" w:hAnsi="Times New Roman" w:cs="Times New Roman"/>
          <w:b/>
          <w:color w:val="333333"/>
        </w:rPr>
      </w:pPr>
      <w:r w:rsidRPr="00A303F7">
        <w:rPr>
          <w:rFonts w:ascii="Times New Roman" w:hAnsi="Times New Roman" w:cs="Times New Roman"/>
          <w:b/>
          <w:color w:val="333333"/>
        </w:rPr>
        <w:t>Docente Evaluador:</w:t>
      </w:r>
    </w:p>
    <w:p w:rsidR="00A303F7" w:rsidRDefault="00A303F7" w:rsidP="00A303F7">
      <w:pPr>
        <w:spacing w:after="400" w:line="276" w:lineRule="auto"/>
        <w:jc w:val="center"/>
        <w:rPr>
          <w:rFonts w:ascii="Times New Roman" w:hAnsi="Times New Roman" w:cs="Times New Roman"/>
          <w:color w:val="111111"/>
          <w:sz w:val="26"/>
        </w:rPr>
      </w:pPr>
      <w:r w:rsidRPr="00A303F7">
        <w:rPr>
          <w:rFonts w:ascii="Times New Roman" w:hAnsi="Times New Roman" w:cs="Times New Roman"/>
          <w:color w:val="111111"/>
          <w:sz w:val="26"/>
        </w:rPr>
        <w:t>MAG. RICARDO EDUARDO VALCARCEL ALVARADO</w:t>
      </w:r>
    </w:p>
    <w:p w:rsidR="00A303F7" w:rsidRDefault="00A303F7" w:rsidP="00A303F7">
      <w:pPr>
        <w:spacing w:after="80" w:line="276" w:lineRule="auto"/>
        <w:jc w:val="center"/>
        <w:rPr>
          <w:rFonts w:ascii="Times New Roman" w:hAnsi="Times New Roman" w:cs="Times New Roman"/>
          <w:b/>
          <w:color w:val="333333"/>
        </w:rPr>
      </w:pPr>
      <w:r w:rsidRPr="00A303F7">
        <w:rPr>
          <w:rFonts w:ascii="Times New Roman" w:hAnsi="Times New Roman" w:cs="Times New Roman"/>
          <w:b/>
          <w:color w:val="333333"/>
        </w:rPr>
        <w:t>Integrantes del Equipo de Desarrollo (Grupo G01):</w:t>
      </w:r>
    </w:p>
    <w:p w:rsidR="00A303F7" w:rsidRDefault="00A303F7" w:rsidP="00A303F7">
      <w:pPr>
        <w:spacing w:after="60" w:line="276" w:lineRule="auto"/>
        <w:jc w:val="center"/>
        <w:rPr>
          <w:rFonts w:ascii="Times New Roman" w:hAnsi="Times New Roman" w:cs="Times New Roman"/>
          <w:color w:val="111111"/>
          <w:sz w:val="24"/>
        </w:rPr>
      </w:pPr>
      <w:r w:rsidRPr="00A303F7">
        <w:rPr>
          <w:rFonts w:ascii="Times New Roman" w:hAnsi="Times New Roman" w:cs="Times New Roman"/>
          <w:color w:val="111111"/>
          <w:sz w:val="24"/>
        </w:rPr>
        <w:t>Loyola Vilca, Renzo Fernando    (Código: 2021072615)</w:t>
      </w:r>
    </w:p>
    <w:p w:rsidR="00A303F7" w:rsidRDefault="00A303F7" w:rsidP="00A303F7">
      <w:pPr>
        <w:spacing w:after="760" w:line="276" w:lineRule="auto"/>
        <w:jc w:val="center"/>
        <w:rPr>
          <w:rFonts w:ascii="Times New Roman" w:hAnsi="Times New Roman" w:cs="Times New Roman"/>
          <w:color w:val="111111"/>
          <w:sz w:val="24"/>
        </w:rPr>
      </w:pPr>
      <w:r w:rsidRPr="00A303F7">
        <w:rPr>
          <w:rFonts w:ascii="Times New Roman" w:hAnsi="Times New Roman" w:cs="Times New Roman"/>
          <w:color w:val="111111"/>
          <w:sz w:val="24"/>
        </w:rPr>
        <w:t>Brant Antony Chata Choque    (Código: 2020067577)</w:t>
      </w:r>
    </w:p>
    <w:p w:rsidR="00A303F7" w:rsidRDefault="00A303F7" w:rsidP="00A303F7">
      <w:pPr>
        <w:spacing w:after="40" w:line="276" w:lineRule="auto"/>
        <w:jc w:val="center"/>
        <w:rPr>
          <w:rFonts w:ascii="Times New Roman" w:hAnsi="Times New Roman" w:cs="Times New Roman"/>
          <w:b/>
          <w:color w:val="333333"/>
          <w:sz w:val="24"/>
        </w:rPr>
      </w:pPr>
      <w:r w:rsidRPr="00A303F7">
        <w:rPr>
          <w:rFonts w:ascii="Times New Roman" w:hAnsi="Times New Roman" w:cs="Times New Roman"/>
          <w:b/>
          <w:color w:val="333333"/>
          <w:sz w:val="24"/>
        </w:rPr>
        <w:t>Tacna - Perú</w:t>
      </w:r>
    </w:p>
    <w:p w:rsidR="00A303F7" w:rsidRDefault="00A303F7" w:rsidP="00A303F7">
      <w:pPr>
        <w:spacing w:after="0" w:line="276" w:lineRule="auto"/>
        <w:jc w:val="center"/>
        <w:rPr>
          <w:rFonts w:ascii="Times New Roman" w:hAnsi="Times New Roman" w:cs="Times New Roman"/>
          <w:b/>
          <w:color w:val="1E3A2B"/>
          <w:sz w:val="28"/>
        </w:rPr>
      </w:pPr>
      <w:r w:rsidRPr="00A303F7">
        <w:rPr>
          <w:rFonts w:ascii="Times New Roman" w:hAnsi="Times New Roman" w:cs="Times New Roman"/>
          <w:b/>
          <w:color w:val="1E3A2B"/>
          <w:sz w:val="28"/>
        </w:rPr>
        <w:t>2026</w:t>
      </w:r>
    </w:p>
    <w:p w:rsidR="00A303F7" w:rsidRDefault="00A303F7">
      <w:r>
        <w:br w:type="page"/>
      </w:r>
    </w:p>
    <w:p w:rsidR="00A303F7" w:rsidRDefault="00A303F7" w:rsidP="00A303F7">
      <w:pPr>
        <w:spacing w:line="276" w:lineRule="auto"/>
        <w:rPr>
          <w:rFonts w:ascii="Times New Roman" w:hAnsi="Times New Roman" w:cs="Times New Roman"/>
          <w:b/>
          <w:color w:val="1E3A2B"/>
          <w:sz w:val="28"/>
        </w:rPr>
      </w:pPr>
      <w:r w:rsidRPr="00A303F7">
        <w:rPr>
          <w:rFonts w:ascii="Times New Roman" w:hAnsi="Times New Roman" w:cs="Times New Roman"/>
          <w:b/>
          <w:color w:val="1E3A2B"/>
          <w:sz w:val="28"/>
        </w:rPr>
        <w:t>CONTROL DE VERSIONES</w:t>
      </w:r>
    </w:p>
    <w:p w:rsidR="00A303F7" w:rsidRDefault="00A303F7" w:rsidP="00A303F7">
      <w:pPr>
        <w:spacing w:after="120" w:line="276" w:lineRule="auto"/>
        <w:jc w:val="both"/>
        <w:rPr>
          <w:rFonts w:ascii="Times New Roman" w:hAnsi="Times New Roman" w:cs="Times New Roman"/>
          <w:color w:val="111111"/>
        </w:rPr>
      </w:pPr>
      <w:r w:rsidRPr="00A303F7">
        <w:rPr>
          <w:rFonts w:ascii="Times New Roman" w:hAnsi="Times New Roman" w:cs="Times New Roman"/>
          <w:color w:val="111111"/>
        </w:rPr>
        <w:t>El presente cuadro documenta las versiones formales del Documento de Visión elaboradas durante el ciclo académico 2026 en la Universidad Privada de Tacna:</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900"/>
        <w:gridCol w:w="1300"/>
        <w:gridCol w:w="1200"/>
        <w:gridCol w:w="1200"/>
        <w:gridCol w:w="1200"/>
        <w:gridCol w:w="3600"/>
      </w:tblGrid>
      <w:tr w:rsidR="00A303F7" w:rsidTr="00A303F7">
        <w:tblPrEx>
          <w:tblCellMar>
            <w:top w:w="0" w:type="dxa"/>
            <w:bottom w:w="0" w:type="dxa"/>
          </w:tblCellMar>
        </w:tblPrEx>
        <w:trPr>
          <w:jc w:val="center"/>
        </w:trPr>
        <w:tc>
          <w:tcPr>
            <w:tcW w:w="9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2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Versión</w:t>
            </w:r>
          </w:p>
        </w:tc>
        <w:tc>
          <w:tcPr>
            <w:tcW w:w="13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2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Elaborado por</w:t>
            </w:r>
          </w:p>
        </w:tc>
        <w:tc>
          <w:tcPr>
            <w:tcW w:w="12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2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Revisado por</w:t>
            </w:r>
          </w:p>
        </w:tc>
        <w:tc>
          <w:tcPr>
            <w:tcW w:w="12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2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Aprobado por</w:t>
            </w:r>
          </w:p>
        </w:tc>
        <w:tc>
          <w:tcPr>
            <w:tcW w:w="12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2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Fecha</w:t>
            </w:r>
          </w:p>
        </w:tc>
        <w:tc>
          <w:tcPr>
            <w:tcW w:w="36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2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Motivo del Cambio</w:t>
            </w:r>
          </w:p>
        </w:tc>
      </w:tr>
      <w:tr w:rsidR="00A303F7" w:rsidTr="00A303F7">
        <w:tblPrEx>
          <w:tblCellMar>
            <w:top w:w="0" w:type="dxa"/>
            <w:bottom w:w="0" w:type="dxa"/>
          </w:tblCellMar>
        </w:tblPrEx>
        <w:trPr>
          <w:jc w:val="center"/>
        </w:trPr>
        <w:tc>
          <w:tcPr>
            <w:tcW w:w="9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2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1.0</w:t>
            </w:r>
          </w:p>
        </w:tc>
        <w:tc>
          <w:tcPr>
            <w:tcW w:w="13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BACC, RFLV</w:t>
            </w:r>
          </w:p>
        </w:tc>
        <w:tc>
          <w:tcPr>
            <w:tcW w:w="12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REVA</w:t>
            </w:r>
          </w:p>
        </w:tc>
        <w:tc>
          <w:tcPr>
            <w:tcW w:w="12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REVA</w:t>
            </w:r>
          </w:p>
        </w:tc>
        <w:tc>
          <w:tcPr>
            <w:tcW w:w="12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08/04/2026</w:t>
            </w:r>
          </w:p>
        </w:tc>
        <w:tc>
          <w:tcPr>
            <w:tcW w:w="3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Versión inicial del documento de visión del producto.</w:t>
            </w:r>
          </w:p>
        </w:tc>
      </w:tr>
      <w:tr w:rsidR="00A303F7" w:rsidTr="00A303F7">
        <w:tblPrEx>
          <w:tblCellMar>
            <w:top w:w="0" w:type="dxa"/>
            <w:bottom w:w="0" w:type="dxa"/>
          </w:tblCellMar>
        </w:tblPrEx>
        <w:trPr>
          <w:jc w:val="center"/>
        </w:trPr>
        <w:tc>
          <w:tcPr>
            <w:tcW w:w="9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2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2.0</w:t>
            </w:r>
          </w:p>
        </w:tc>
        <w:tc>
          <w:tcPr>
            <w:tcW w:w="13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BACC, RFLV</w:t>
            </w:r>
          </w:p>
        </w:tc>
        <w:tc>
          <w:tcPr>
            <w:tcW w:w="12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REVA</w:t>
            </w:r>
          </w:p>
        </w:tc>
        <w:tc>
          <w:tcPr>
            <w:tcW w:w="12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REVA</w:t>
            </w:r>
          </w:p>
        </w:tc>
        <w:tc>
          <w:tcPr>
            <w:tcW w:w="12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15/05/2026</w:t>
            </w:r>
          </w:p>
        </w:tc>
        <w:tc>
          <w:tcPr>
            <w:tcW w:w="3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Ajuste de necesidades de comerciantes y compradores de Tacna levantadas en trabajo de campo.</w:t>
            </w:r>
          </w:p>
        </w:tc>
      </w:tr>
      <w:tr w:rsidR="00A303F7" w:rsidTr="00A303F7">
        <w:tblPrEx>
          <w:tblCellMar>
            <w:top w:w="0" w:type="dxa"/>
            <w:bottom w:w="0" w:type="dxa"/>
          </w:tblCellMar>
        </w:tblPrEx>
        <w:trPr>
          <w:jc w:val="center"/>
        </w:trPr>
        <w:tc>
          <w:tcPr>
            <w:tcW w:w="9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2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3.0</w:t>
            </w:r>
          </w:p>
        </w:tc>
        <w:tc>
          <w:tcPr>
            <w:tcW w:w="13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BACC, RFLV</w:t>
            </w:r>
          </w:p>
        </w:tc>
        <w:tc>
          <w:tcPr>
            <w:tcW w:w="12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REVA</w:t>
            </w:r>
          </w:p>
        </w:tc>
        <w:tc>
          <w:tcPr>
            <w:tcW w:w="12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REVA</w:t>
            </w:r>
          </w:p>
        </w:tc>
        <w:tc>
          <w:tcPr>
            <w:tcW w:w="12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28/09/2026</w:t>
            </w:r>
          </w:p>
        </w:tc>
        <w:tc>
          <w:tcPr>
            <w:tcW w:w="36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20" w:line="276" w:lineRule="auto"/>
              <w:rPr>
                <w:rFonts w:ascii="Times New Roman" w:hAnsi="Times New Roman" w:cs="Times New Roman"/>
                <w:color w:val="111111"/>
                <w:sz w:val="19"/>
              </w:rPr>
            </w:pPr>
            <w:r w:rsidRPr="00A303F7">
              <w:rPr>
                <w:rFonts w:ascii="Times New Roman" w:hAnsi="Times New Roman" w:cs="Times New Roman"/>
                <w:color w:val="111111"/>
                <w:sz w:val="19"/>
              </w:rPr>
              <w:t>Consolidación final alineada plenamente con el SRS v3.0, el SAD v2.1 y la base implementada en orbika-app.</w:t>
            </w:r>
          </w:p>
        </w:tc>
      </w:tr>
    </w:tbl>
    <w:p w:rsidR="00A303F7" w:rsidRDefault="00A303F7" w:rsidP="00A303F7">
      <w:pPr>
        <w:spacing w:after="120" w:line="276" w:lineRule="auto"/>
        <w:jc w:val="both"/>
      </w:pPr>
    </w:p>
    <w:p w:rsidR="00A303F7" w:rsidRDefault="00A303F7" w:rsidP="00A303F7">
      <w:pPr>
        <w:spacing w:line="276" w:lineRule="auto"/>
        <w:rPr>
          <w:rFonts w:ascii="Times New Roman" w:hAnsi="Times New Roman" w:cs="Times New Roman"/>
          <w:b/>
          <w:color w:val="1E3A2B"/>
          <w:sz w:val="28"/>
        </w:rPr>
      </w:pPr>
      <w:r w:rsidRPr="00A303F7">
        <w:rPr>
          <w:rFonts w:ascii="Times New Roman" w:hAnsi="Times New Roman" w:cs="Times New Roman"/>
          <w:b/>
          <w:color w:val="1E3A2B"/>
          <w:sz w:val="28"/>
        </w:rPr>
        <w:t>ÍNDICE GENERAL</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1. INTRODUCCIÓN</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1.1 Propósito del Documento de Visión</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1.2 Alcance del Producto</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1.3 Definiciones, Siglas y Abreviaturas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1.4 Referencias y Marco Teórico</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2. POSICIONAMIENTO DEL PRODUCTO</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2.1 Oportunidad de Negocio y Justificación</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2.2 Declaración Formal del Problema</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2.3 Declaración de Posición del Producto</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3. DESCRIPCIÓN DE LOS INTERESADOS Y USUARIOS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3.1 Contexto de Mercado y Demografía Comercial de Tacna</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3.2 Resumen de los Interesados (Stakeholders)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3.3 Perfiles de los Usuarios del Sistema</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3.4 Entorno de los Usuarios y Condiciones de Uso</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3.5 Necesidades Clave de los Interesados vs. Solución ÓrbiKa</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3.6 Alternativas Existentes y Análisis Competitivo</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4. VISTA GENERAL DEL PRODUCTO</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4.1 Perspectiva y Arquitectura Conceptual del Sistema</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4.2 Matriz de Capacidades y Beneficios Clave</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4.3 Suposiciones y Dependencias Críticas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4.4 Modelo Económico y Estructura de Precios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5. CARACTERÍSTICAS PRINCIPALES DEL PRODUCTO (FEATURES)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5.1 FEAT-01: Registro y Autenticación con Perfiles Diferenciados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5.2 FEAT-02: Publicación Asistida con Algoritmo de Descuento Progresivo</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5.3 FEAT-03: Catálogo Interactivo, Búsqueda Multicriterio y Filtro Geográfico</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5.4 FEAT-04: Gestión Transaccional de Pedidos y Reserva de Stock</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5.5 FEAT-05: Sistema de Reputación y Calificaciones Bidireccionales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5.6 FEAT-06: Panel de Analítica e Indicadores de Impacto Ambiental</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5.7 FEAT-07: Moderación Administrativa, Control de Incidencias y Reportes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5.8 FEAT-08: Gestión Comercial y Planes Premium para Vendedores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6. RESTRICCIONES DEL SISTEMA</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6.1 Restricciones Técnicas y de Plataforma</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6.2 Restricciones Operativas y de Alfabetización Digital</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6.3 Restricciones Legales, Normativas y Sanitarias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7. RANGOS DE CALIDAD Y ATRIBUTOS NO FUNCIONALES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7.1 Usabilidad y Experiencia de Usuario</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7.2 Rendimiento y Eficiencia</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7.3 Confiabilidad y Disponibilidad</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7.4 Seguridad y Protección de Datos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7.5 Mantenibilidad y Portabilidad</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8. PRIORIZACIÓN DE CARACTERÍSTICAS (MATRIZ MOSCOW)</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9. OTROS REQUERIMIENTOS Y PLAN DE ADOPCIÓN</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9.1 Documentación y Manuales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9.2 Estrategia de Onboarding para Comerciantes de Mercados</w:t>
      </w:r>
    </w:p>
    <w:p w:rsidR="00A303F7" w:rsidRPr="00A303F7" w:rsidRDefault="00A303F7" w:rsidP="00A303F7">
      <w:pPr>
        <w:spacing w:line="276" w:lineRule="auto"/>
        <w:rPr>
          <w:rFonts w:ascii="Times New Roman" w:hAnsi="Times New Roman" w:cs="Times New Roman"/>
          <w:color w:val="222222"/>
          <w:sz w:val="20"/>
        </w:rPr>
      </w:pPr>
      <w:r w:rsidRPr="00A303F7">
        <w:rPr>
          <w:rFonts w:ascii="Times New Roman" w:hAnsi="Times New Roman" w:cs="Times New Roman"/>
          <w:color w:val="222222"/>
          <w:sz w:val="20"/>
        </w:rPr>
        <w:t xml:space="preserve">    9.3 Soporte y Acompañamiento en el Despliegue Piloto</w:t>
      </w:r>
    </w:p>
    <w:p w:rsidR="00A303F7" w:rsidRDefault="00A303F7" w:rsidP="00A303F7">
      <w:pPr>
        <w:spacing w:after="280" w:line="276" w:lineRule="auto"/>
        <w:rPr>
          <w:rFonts w:ascii="Times New Roman" w:hAnsi="Times New Roman" w:cs="Times New Roman"/>
          <w:color w:val="222222"/>
          <w:sz w:val="20"/>
        </w:rPr>
      </w:pPr>
      <w:r w:rsidRPr="00A303F7">
        <w:rPr>
          <w:rFonts w:ascii="Times New Roman" w:hAnsi="Times New Roman" w:cs="Times New Roman"/>
          <w:color w:val="222222"/>
          <w:sz w:val="20"/>
        </w:rPr>
        <w:t>10. CONCLUSIONES Y RECOMENDACIONES</w:t>
      </w:r>
    </w:p>
    <w:p w:rsidR="00A303F7" w:rsidRDefault="00A303F7">
      <w:r>
        <w:br w:type="page"/>
      </w:r>
    </w:p>
    <w:p w:rsidR="00A303F7" w:rsidRDefault="00A303F7" w:rsidP="00A303F7">
      <w:pPr>
        <w:spacing w:line="276" w:lineRule="auto"/>
        <w:rPr>
          <w:rFonts w:ascii="Times New Roman" w:hAnsi="Times New Roman" w:cs="Times New Roman"/>
          <w:b/>
          <w:color w:val="1E3A2B"/>
          <w:sz w:val="28"/>
        </w:rPr>
      </w:pPr>
      <w:r w:rsidRPr="00A303F7">
        <w:rPr>
          <w:rFonts w:ascii="Times New Roman" w:hAnsi="Times New Roman" w:cs="Times New Roman"/>
          <w:b/>
          <w:color w:val="1E3A2B"/>
          <w:sz w:val="28"/>
        </w:rPr>
        <w:t>1. INTRODUCCIÓN</w:t>
      </w:r>
    </w:p>
    <w:p w:rsidR="00A303F7" w:rsidRDefault="00A303F7" w:rsidP="00A303F7">
      <w:pPr>
        <w:spacing w:after="100" w:line="276" w:lineRule="auto"/>
        <w:rPr>
          <w:rFonts w:ascii="Times New Roman" w:hAnsi="Times New Roman" w:cs="Times New Roman"/>
          <w:b/>
          <w:color w:val="1E3A2B"/>
          <w:sz w:val="25"/>
        </w:rPr>
      </w:pPr>
      <w:r w:rsidRPr="00A303F7">
        <w:rPr>
          <w:rFonts w:ascii="Times New Roman" w:hAnsi="Times New Roman" w:cs="Times New Roman"/>
          <w:b/>
          <w:color w:val="1E3A2B"/>
          <w:sz w:val="25"/>
        </w:rPr>
        <w:t>1.1 Propósito del Documento de Visión</w:t>
      </w:r>
    </w:p>
    <w:p w:rsidR="00A303F7" w:rsidRDefault="00A303F7" w:rsidP="00A303F7">
      <w:pPr>
        <w:spacing w:after="120" w:line="276" w:lineRule="auto"/>
        <w:jc w:val="both"/>
        <w:rPr>
          <w:rFonts w:ascii="Times New Roman" w:hAnsi="Times New Roman" w:cs="Times New Roman"/>
          <w:color w:val="111111"/>
        </w:rPr>
      </w:pPr>
      <w:r w:rsidRPr="00A303F7">
        <w:rPr>
          <w:rFonts w:ascii="Times New Roman" w:hAnsi="Times New Roman" w:cs="Times New Roman"/>
          <w:color w:val="111111"/>
        </w:rPr>
        <w:t>El presente Documento de Visión (FD02) define formalmente las capacidades generales, el alcance estratégico, el posicionamiento en el mercado y las restricciones operativas de ÓrbiKa, una plataforma web concebida para la comercialización y revalorización de productos perecibles orientada al consumo sostenible en la provincia de Tacna. Este documento actúa como el punto de alineamiento fundamental entre las necesidades reales de los actores involucrados (comerciantes, consumidores finales y administradores) y las especificaciones técnicas del software, garantizando que el diseño y la construcción del sistema satisfagan plenamente los objetivos trazados.</w:t>
      </w:r>
    </w:p>
    <w:p w:rsidR="00A303F7" w:rsidRDefault="00A303F7" w:rsidP="00A303F7">
      <w:pPr>
        <w:spacing w:after="120" w:line="276" w:lineRule="auto"/>
        <w:jc w:val="both"/>
        <w:rPr>
          <w:rFonts w:ascii="Times New Roman" w:hAnsi="Times New Roman" w:cs="Times New Roman"/>
          <w:color w:val="111111"/>
        </w:rPr>
      </w:pPr>
      <w:r w:rsidRPr="00A303F7">
        <w:rPr>
          <w:rFonts w:ascii="Times New Roman" w:hAnsi="Times New Roman" w:cs="Times New Roman"/>
          <w:color w:val="111111"/>
        </w:rPr>
        <w:t>Asimismo, la Visión proporciona el marco de referencia de alto nivel del cual se derivan los 21 requerimientos funcionales y 8 atributos de calidad consolidados en la Especificación de Requerimientos de Software (SRS v3.0 / FD03), así como las decisiones de descomposición arquitectónica formalizadas en el Documento de Arquitectura de Software (SAD v2.1 / FD04).</w:t>
      </w:r>
    </w:p>
    <w:p w:rsidR="00A303F7" w:rsidRDefault="00A303F7" w:rsidP="00A303F7">
      <w:pPr>
        <w:spacing w:after="100" w:line="276" w:lineRule="auto"/>
        <w:rPr>
          <w:rFonts w:ascii="Times New Roman" w:hAnsi="Times New Roman" w:cs="Times New Roman"/>
          <w:b/>
          <w:color w:val="1E3A2B"/>
          <w:sz w:val="25"/>
        </w:rPr>
      </w:pPr>
      <w:r w:rsidRPr="00A303F7">
        <w:rPr>
          <w:rFonts w:ascii="Times New Roman" w:hAnsi="Times New Roman" w:cs="Times New Roman"/>
          <w:b/>
          <w:color w:val="1E3A2B"/>
          <w:sz w:val="25"/>
        </w:rPr>
        <w:t>1.2 Alcance del Producto</w:t>
      </w:r>
    </w:p>
    <w:p w:rsidR="00A303F7" w:rsidRDefault="00A303F7" w:rsidP="00A303F7">
      <w:pPr>
        <w:spacing w:after="120" w:line="276" w:lineRule="auto"/>
        <w:jc w:val="both"/>
        <w:rPr>
          <w:rFonts w:ascii="Times New Roman" w:hAnsi="Times New Roman" w:cs="Times New Roman"/>
          <w:color w:val="111111"/>
        </w:rPr>
      </w:pPr>
      <w:r w:rsidRPr="00A303F7">
        <w:rPr>
          <w:rFonts w:ascii="Times New Roman" w:hAnsi="Times New Roman" w:cs="Times New Roman"/>
          <w:color w:val="111111"/>
        </w:rPr>
        <w:t>ÓrbiKa es un ecosistema digital web responsive que integra tres áreas operativas fundamentales:</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Canal de Oferta Asistida para Vendedores: Dirigido a comerciantes de abastos, bodegas de barrio, panaderías, distribuidores locales y negocios gastronómicos de Tacna, permitiéndoles publicar de forma intuitiva excedentes o productos perecibles cercanos a su fecha de vencimiento, incorporando cálculo asistido de descuentos y administración en tiempo real de su stock.</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Marketplace de Consumo Responsable para Compradores: Dirigido a familias, trabajadores, estudiantes y consumidores de los distritos de Tacna, Gregorio Albarracín, Alto de la Alianza y Ciudad Nueva, permitiéndoles localizar ofertas alimentarias con hasta 50% de descuento mediante filtros geográficos, reservar productos con confirmación instantánea y coordinar la entrega o recojo.</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Módulo de Inteligencia y Gobernanza de Impacto: Proporciona a administradores y usuarios métricas cuantificables sobre kilogramos de alimentos rescatados, desperdicio orgánico evitado, reducción de emisiones equivalentes de carbono y ahorro monetario acumulado.</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1.3 Definiciones, Siglas y Abreviaturas</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2600"/>
        <w:gridCol w:w="6800"/>
      </w:tblGrid>
      <w:tr w:rsidR="00A303F7" w:rsidTr="00A303F7">
        <w:tblPrEx>
          <w:tblCellMar>
            <w:top w:w="0" w:type="dxa"/>
            <w:bottom w:w="0" w:type="dxa"/>
          </w:tblCellMar>
        </w:tblPrEx>
        <w:trPr>
          <w:jc w:val="center"/>
        </w:trPr>
        <w:tc>
          <w:tcPr>
            <w:tcW w:w="26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Término / Sigla</w:t>
            </w:r>
          </w:p>
        </w:tc>
        <w:tc>
          <w:tcPr>
            <w:tcW w:w="68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Significado y Contexto de Aplicación</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Producto Perecible</w:t>
            </w:r>
          </w:p>
        </w:tc>
        <w:tc>
          <w:tcPr>
            <w:tcW w:w="6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Alimento que, por su composición y características biológicas, experimenta una rápida descomposición y pérdida de aptitud comercial en pocos días o semanas (frutas, verduras, lácteos, panadería, carnes y alimentos preparados).</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Revalorización Alimentaria</w:t>
            </w:r>
          </w:p>
        </w:tc>
        <w:tc>
          <w:tcPr>
            <w:tcW w:w="68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Estrategia de economía circular consistente en dar salida comercial a un precio accesible a alimentos aptos para el consumo que de otro modo serían desechados como merma comercial o residuo sólido.</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Merma Comercial</w:t>
            </w:r>
          </w:p>
        </w:tc>
        <w:tc>
          <w:tcPr>
            <w:tcW w:w="6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Pérdida física y económica de inventario generada por la falta de rotación oportuna de productos perecibles antes de su fecha límite de consumo preferente.</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RUP</w:t>
            </w:r>
          </w:p>
        </w:tc>
        <w:tc>
          <w:tcPr>
            <w:tcW w:w="68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Rational Unified Process. Metodología disciplinada de desarrollo de software basada en iteraciones, arquitectura centrada y casos de uso.</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SRS / SAD</w:t>
            </w:r>
          </w:p>
        </w:tc>
        <w:tc>
          <w:tcPr>
            <w:tcW w:w="6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Software Requirements Specification (FD03) y Software Architecture Document (FD04), artefactos normativos del ciclo de vida del software.</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RLS</w:t>
            </w:r>
          </w:p>
        </w:tc>
        <w:tc>
          <w:tcPr>
            <w:tcW w:w="68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Row Level Security. Mecanismo de seguridad a nivel de motor de base de datos implementado en PostgreSQL para aislar los accesos por identidad de usuario.</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JWT</w:t>
            </w:r>
          </w:p>
        </w:tc>
        <w:tc>
          <w:tcPr>
            <w:tcW w:w="6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JSON Web Token. Estándar de autenticación y autorización segura mediante firmas criptográficas empleado entre el frontend y el backend.</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ODS</w:t>
            </w:r>
          </w:p>
        </w:tc>
        <w:tc>
          <w:tcPr>
            <w:tcW w:w="68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Objetivos de Desarrollo Sostenible de la ONU. ÓrbiKa impacta directamente en el ODS 2 (Hambre Cero) y ODS 12 (Producción y Consumo Responsables).</w:t>
            </w:r>
          </w:p>
        </w:tc>
      </w:tr>
    </w:tbl>
    <w:p w:rsidR="00A303F7" w:rsidRDefault="00A303F7" w:rsidP="00A303F7">
      <w:pPr>
        <w:spacing w:after="120" w:line="276" w:lineRule="auto"/>
        <w:ind w:left="360"/>
      </w:pP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1.4 Referencias y Marco Teórico</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El diseño de la Visión se sustenta en los siguientes antecedentes documentales y normativos:</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G01_ORBIKA_FD01_FACTIBILIDAD_CHATA_LOYOLA: Estudio de factibilidad que demostró la viabilidad técnica, operativa, económica (VAN: S/ 17,126.60, TIR: 50.3%, B/C: 1.55), legal, social y ambiental de la iniciativa.</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G01_ORBIKA_FD03_SRS_CHATA_LOYOLA: Especificación de Requerimientos de Software con 21 narrativas de casos de uso y modelos de dominio.</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G01_ORBIKA_FD04_SAD_CHATA_LOYOLA: Documento de Arquitectura de Software bajo el modelo de vistas 4+1 de Philippe Kruchten.</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Ley N.º 29733 (Ley de Protección de Datos Personales del Perú) y su Reglamento D.S. 003-2013-JUS.</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Ley N.º 29571 (Código de Protección y Defensa del Consumidor del Perú).</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Informes FAO (2022-2024) sobre Pérdidas y Desperdicio de Alimentos en América Latina y el Caribe.</w:t>
      </w:r>
    </w:p>
    <w:p w:rsidR="00A303F7" w:rsidRDefault="00A303F7" w:rsidP="00A303F7">
      <w:pPr>
        <w:spacing w:line="276" w:lineRule="auto"/>
        <w:ind w:left="360"/>
        <w:rPr>
          <w:rFonts w:ascii="Times New Roman" w:hAnsi="Times New Roman" w:cs="Times New Roman"/>
          <w:b/>
          <w:color w:val="1E3A2B"/>
          <w:sz w:val="28"/>
        </w:rPr>
      </w:pPr>
      <w:r w:rsidRPr="00A303F7">
        <w:rPr>
          <w:rFonts w:ascii="Times New Roman" w:hAnsi="Times New Roman" w:cs="Times New Roman"/>
          <w:b/>
          <w:color w:val="1E3A2B"/>
          <w:sz w:val="28"/>
        </w:rPr>
        <w:t>2. POSICIONAMIENTO DEL PRODUCTO</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2.1 Oportunidad de Negocio y Justificación</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En los principales centros de abastos de la provincia de Tacna (Mercado Mayorista Grau, Mercado Central, Mercado Dos de Mayo y mercadillos zonales), los comerciantes enfrentan diariamente la pérdida irrecuperable de entre 8% y 15% de su mercadería perecible fresca. Este fenómeno obedece a la sobreoferta estacional, variaciones climáticas térmicas de la costa tacneña y la carencia de canales digitales ágiles que permitan liquidar inventarios antes de la expiración.</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Paralelamente, las familias tacneñas experimentan una contracción en su poder adquisitivo debido a presiones inflacionarias en la canasta básica familiar. Hasta la fecha, las iniciativas de remate de alimentos operan de forma rudimentaria y fragmentada (gritos de remate a última hora de la tarde, publicaciones efímeras en historias de WhatsApp o publicaciones desordenadas en grupos de Facebook sin garantía ni filtros por zona). ÓrbiKa capitaliza esta brecha creando el primer mercado digital especializado en revalorización de alimentos en la región sur del Perú.</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2.2 Declaración Formal del Problema</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2800"/>
        <w:gridCol w:w="6600"/>
      </w:tblGrid>
      <w:tr w:rsidR="00A303F7" w:rsidTr="00A303F7">
        <w:tblPrEx>
          <w:tblCellMar>
            <w:top w:w="0" w:type="dxa"/>
            <w:bottom w:w="0" w:type="dxa"/>
          </w:tblCellMar>
        </w:tblPrEx>
        <w:trPr>
          <w:jc w:val="center"/>
        </w:trPr>
        <w:tc>
          <w:tcPr>
            <w:tcW w:w="28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Elemento de Evaluación</w:t>
            </w:r>
          </w:p>
        </w:tc>
        <w:tc>
          <w:tcPr>
            <w:tcW w:w="66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Descripción del Diagnóstico Operativo</w:t>
            </w:r>
          </w:p>
        </w:tc>
      </w:tr>
      <w:tr w:rsidR="00A303F7" w:rsidTr="00A303F7">
        <w:tblPrEx>
          <w:tblCellMar>
            <w:top w:w="0" w:type="dxa"/>
            <w:bottom w:w="0" w:type="dxa"/>
          </w:tblCellMar>
        </w:tblPrEx>
        <w:trPr>
          <w:jc w:val="center"/>
        </w:trPr>
        <w:tc>
          <w:tcPr>
            <w:tcW w:w="2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El problema de...</w:t>
            </w:r>
          </w:p>
        </w:tc>
        <w:tc>
          <w:tcPr>
            <w:tcW w:w="6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La pérdida y desperdicio sistemático de productos perecibles aptos para consumo humano debido a la falta de rotación previa a su fecha de vencimiento.</w:t>
            </w:r>
          </w:p>
        </w:tc>
      </w:tr>
      <w:tr w:rsidR="00A303F7" w:rsidTr="00A303F7">
        <w:tblPrEx>
          <w:tblCellMar>
            <w:top w:w="0" w:type="dxa"/>
            <w:bottom w:w="0" w:type="dxa"/>
          </w:tblCellMar>
        </w:tblPrEx>
        <w:trPr>
          <w:jc w:val="center"/>
        </w:trPr>
        <w:tc>
          <w:tcPr>
            <w:tcW w:w="28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Afecta a...</w:t>
            </w:r>
          </w:p>
        </w:tc>
        <w:tc>
          <w:tcPr>
            <w:tcW w:w="6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Comerciantes minoristas y mayoristas de abastos, negocios gastronómicos, minimarkets y familias consumidoras en la provincia de Tacna.</w:t>
            </w:r>
          </w:p>
        </w:tc>
      </w:tr>
      <w:tr w:rsidR="00A303F7" w:rsidTr="00A303F7">
        <w:tblPrEx>
          <w:tblCellMar>
            <w:top w:w="0" w:type="dxa"/>
            <w:bottom w:w="0" w:type="dxa"/>
          </w:tblCellMar>
        </w:tblPrEx>
        <w:trPr>
          <w:jc w:val="center"/>
        </w:trPr>
        <w:tc>
          <w:tcPr>
            <w:tcW w:w="2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El impacto es...</w:t>
            </w:r>
          </w:p>
        </w:tc>
        <w:tc>
          <w:tcPr>
            <w:tcW w:w="6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Pérdidas económicas directas para los negocios, menor disponibilidad de alimentos económicos para hogares vulnerables, y acumulación de residuos orgánicos contaminantes en botaderos locales.</w:t>
            </w:r>
          </w:p>
        </w:tc>
      </w:tr>
      <w:tr w:rsidR="00A303F7" w:rsidTr="00A303F7">
        <w:tblPrEx>
          <w:tblCellMar>
            <w:top w:w="0" w:type="dxa"/>
            <w:bottom w:w="0" w:type="dxa"/>
          </w:tblCellMar>
        </w:tblPrEx>
        <w:trPr>
          <w:jc w:val="center"/>
        </w:trPr>
        <w:tc>
          <w:tcPr>
            <w:tcW w:w="28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Una solución exitosa sería...</w:t>
            </w:r>
          </w:p>
        </w:tc>
        <w:tc>
          <w:tcPr>
            <w:tcW w:w="66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Una plataforma web colaborativa, responsive y centralizada que permita publicar con descuento dinámico, explorar y reservar alimentos según geolocalización, verificar transacciones y medir el impacto ambiental positivo.</w:t>
            </w:r>
          </w:p>
        </w:tc>
      </w:tr>
    </w:tbl>
    <w:p w:rsidR="00A303F7" w:rsidRDefault="00A303F7" w:rsidP="00A303F7">
      <w:pPr>
        <w:spacing w:after="120" w:line="276" w:lineRule="auto"/>
        <w:ind w:left="360"/>
      </w:pP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2.3 Declaración de Posición del Producto</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2600"/>
        <w:gridCol w:w="6800"/>
      </w:tblGrid>
      <w:tr w:rsidR="00A303F7" w:rsidTr="00A303F7">
        <w:tblPrEx>
          <w:tblCellMar>
            <w:top w:w="0" w:type="dxa"/>
            <w:bottom w:w="0" w:type="dxa"/>
          </w:tblCellMar>
        </w:tblPrEx>
        <w:trPr>
          <w:jc w:val="center"/>
        </w:trPr>
        <w:tc>
          <w:tcPr>
            <w:tcW w:w="26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Dimensión</w:t>
            </w:r>
          </w:p>
        </w:tc>
        <w:tc>
          <w:tcPr>
            <w:tcW w:w="68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Definición Estratégica ÓrbiKa</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Para...</w:t>
            </w:r>
          </w:p>
        </w:tc>
        <w:tc>
          <w:tcPr>
            <w:tcW w:w="6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Compradores en busca de ahorro familiar y comerciantes de perecibles en la provincia de Tacna,</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Quienes...</w:t>
            </w:r>
          </w:p>
        </w:tc>
        <w:tc>
          <w:tcPr>
            <w:tcW w:w="68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Necesitan dar salida inmediata a sus excedentes de stock y adquirir alimentos de calidad a precios altamente accesibles,</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El producto ÓrbiKa es...</w:t>
            </w:r>
          </w:p>
        </w:tc>
        <w:tc>
          <w:tcPr>
            <w:tcW w:w="6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Una plataforma web colaborativa de comercialización y revalorización alimentaria,</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Que...</w:t>
            </w:r>
          </w:p>
        </w:tc>
        <w:tc>
          <w:tcPr>
            <w:tcW w:w="68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Permite publicar con descuentos progresivos asistidos, buscar por distrito/vencimiento, reservar stock en tiempo real y medir el impacto ecológico generado,</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A diferencia de...</w:t>
            </w:r>
          </w:p>
        </w:tc>
        <w:tc>
          <w:tcPr>
            <w:tcW w:w="6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Los grupos informales y desestructurados de WhatsApp, publicaciones aisladas en Facebook Marketplace o remates físicos al cierre del mercado,</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Nuestro producto...</w:t>
            </w:r>
          </w:p>
        </w:tc>
        <w:tc>
          <w:tcPr>
            <w:tcW w:w="68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Proporciona un catálogo ordenado y trazable, reglas de negocio para descuentos automáticos, reputación transparente, mitigación de riesgos y analítica comunitaria de desperdicio evitado.</w:t>
            </w:r>
          </w:p>
        </w:tc>
      </w:tr>
    </w:tbl>
    <w:p w:rsidR="00A303F7" w:rsidRDefault="00A303F7" w:rsidP="00A303F7">
      <w:pPr>
        <w:spacing w:after="120" w:line="276" w:lineRule="auto"/>
        <w:ind w:left="360"/>
      </w:pPr>
    </w:p>
    <w:p w:rsidR="00A303F7" w:rsidRDefault="00A303F7" w:rsidP="00A303F7">
      <w:pPr>
        <w:spacing w:line="276" w:lineRule="auto"/>
        <w:ind w:left="360"/>
        <w:rPr>
          <w:rFonts w:ascii="Times New Roman" w:hAnsi="Times New Roman" w:cs="Times New Roman"/>
          <w:b/>
          <w:color w:val="1E3A2B"/>
          <w:sz w:val="28"/>
        </w:rPr>
      </w:pPr>
      <w:r w:rsidRPr="00A303F7">
        <w:rPr>
          <w:rFonts w:ascii="Times New Roman" w:hAnsi="Times New Roman" w:cs="Times New Roman"/>
          <w:b/>
          <w:color w:val="1E3A2B"/>
          <w:sz w:val="28"/>
        </w:rPr>
        <w:t>3. DESCRIPCIÓN DE LOS INTERESADOS Y USUARIOS</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3.1 Contexto de Mercado y Demografía Comercial de Tacna</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El estudio de campo realizado en el marco del proyecto identificó que la dinámica comercial de perecibles en Tacna se concentra en tres grandes polos: el Mercado Mayorista Grau (eje central de abastecimiento de frutas y hortalizas), el Mercado Central y Dos de Mayo (comercio minorista y gastronomía tradicional), y las zonas comerciales emergentes de Gregorio Albarracín (Viñani y Cono Sur) y Alto de la Alianza. En estos sectores, la penetración de teléfonos móviles con conexión a internet supera el 85%, pero existe una baja disposición a instalar aplicaciones móviles pesadas, lo que ratifica la idoneidad de una solución web responsive accesible mediante navegador.</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3.2 Resumen de los Interesados (Stakeholders)</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2000"/>
        <w:gridCol w:w="2200"/>
        <w:gridCol w:w="2800"/>
        <w:gridCol w:w="2400"/>
      </w:tblGrid>
      <w:tr w:rsidR="00A303F7" w:rsidTr="00A303F7">
        <w:tblPrEx>
          <w:tblCellMar>
            <w:top w:w="0" w:type="dxa"/>
            <w:bottom w:w="0" w:type="dxa"/>
          </w:tblCellMar>
        </w:tblPrEx>
        <w:trPr>
          <w:jc w:val="center"/>
        </w:trPr>
        <w:tc>
          <w:tcPr>
            <w:tcW w:w="20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Interesado</w:t>
            </w:r>
          </w:p>
        </w:tc>
        <w:tc>
          <w:tcPr>
            <w:tcW w:w="22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Rol / Organización</w:t>
            </w:r>
          </w:p>
        </w:tc>
        <w:tc>
          <w:tcPr>
            <w:tcW w:w="28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Interés Primario en ÓrbiKa</w:t>
            </w:r>
          </w:p>
        </w:tc>
        <w:tc>
          <w:tcPr>
            <w:tcW w:w="24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Criterios de Éxito</w:t>
            </w:r>
          </w:p>
        </w:tc>
      </w:tr>
      <w:tr w:rsidR="00A303F7" w:rsidTr="00A303F7">
        <w:tblPrEx>
          <w:tblCellMar>
            <w:top w:w="0" w:type="dxa"/>
            <w:bottom w:w="0" w:type="dxa"/>
          </w:tblCellMar>
        </w:tblPrEx>
        <w:trPr>
          <w:jc w:val="center"/>
        </w:trPr>
        <w:tc>
          <w:tcPr>
            <w:tcW w:w="20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Comerciantes Locales</w:t>
            </w:r>
          </w:p>
        </w:tc>
        <w:tc>
          <w:tcPr>
            <w:tcW w:w="22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Vendedores de mercados y bodegas</w:t>
            </w:r>
          </w:p>
        </w:tc>
        <w:tc>
          <w:tcPr>
            <w:tcW w:w="2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Recuperar capital invertido y reducir pérdidas por merma.</w:t>
            </w:r>
          </w:p>
        </w:tc>
        <w:tc>
          <w:tcPr>
            <w:tcW w:w="24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Publicación rápida en &lt; 2 minutos; pedidos concretados diariamente.</w:t>
            </w:r>
          </w:p>
        </w:tc>
      </w:tr>
      <w:tr w:rsidR="00A303F7" w:rsidTr="00A303F7">
        <w:tblPrEx>
          <w:tblCellMar>
            <w:top w:w="0" w:type="dxa"/>
            <w:bottom w:w="0" w:type="dxa"/>
          </w:tblCellMar>
        </w:tblPrEx>
        <w:trPr>
          <w:jc w:val="center"/>
        </w:trPr>
        <w:tc>
          <w:tcPr>
            <w:tcW w:w="20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Consumidores Urbanos</w:t>
            </w:r>
          </w:p>
        </w:tc>
        <w:tc>
          <w:tcPr>
            <w:tcW w:w="22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Familias, jóvenes y trabajadores</w:t>
            </w:r>
          </w:p>
        </w:tc>
        <w:tc>
          <w:tcPr>
            <w:tcW w:w="28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Acceder a alimentos frescos y procesados a precios reducidos.</w:t>
            </w:r>
          </w:p>
        </w:tc>
        <w:tc>
          <w:tcPr>
            <w:tcW w:w="24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Ahorro del 30% al 50%; catálogo actualizado y productos en buen estado.</w:t>
            </w:r>
          </w:p>
        </w:tc>
      </w:tr>
      <w:tr w:rsidR="00A303F7" w:rsidTr="00A303F7">
        <w:tblPrEx>
          <w:tblCellMar>
            <w:top w:w="0" w:type="dxa"/>
            <w:bottom w:w="0" w:type="dxa"/>
          </w:tblCellMar>
        </w:tblPrEx>
        <w:trPr>
          <w:jc w:val="center"/>
        </w:trPr>
        <w:tc>
          <w:tcPr>
            <w:tcW w:w="20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Equipo de Ingeniería</w:t>
            </w:r>
          </w:p>
        </w:tc>
        <w:tc>
          <w:tcPr>
            <w:tcW w:w="22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Renzo Loyola y Brant Chata (UPT)</w:t>
            </w:r>
          </w:p>
        </w:tc>
        <w:tc>
          <w:tcPr>
            <w:tcW w:w="2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Diseñar, construir, validar y desplegar el software cumpliendo RUP.</w:t>
            </w:r>
          </w:p>
        </w:tc>
        <w:tc>
          <w:tcPr>
            <w:tcW w:w="24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Aprobación académica, arquitectura sólida 4+1 y 63 pruebas ejecutadas.</w:t>
            </w:r>
          </w:p>
        </w:tc>
      </w:tr>
      <w:tr w:rsidR="00A303F7" w:rsidTr="00A303F7">
        <w:tblPrEx>
          <w:tblCellMar>
            <w:top w:w="0" w:type="dxa"/>
            <w:bottom w:w="0" w:type="dxa"/>
          </w:tblCellMar>
        </w:tblPrEx>
        <w:trPr>
          <w:jc w:val="center"/>
        </w:trPr>
        <w:tc>
          <w:tcPr>
            <w:tcW w:w="20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Docente Evaluador</w:t>
            </w:r>
          </w:p>
        </w:tc>
        <w:tc>
          <w:tcPr>
            <w:tcW w:w="22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Mag. Ricardo Valcárcel Alvarado</w:t>
            </w:r>
          </w:p>
        </w:tc>
        <w:tc>
          <w:tcPr>
            <w:tcW w:w="28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Verificar el rigor ingenieril, trazabilidad metodológica y calidad de software.</w:t>
            </w:r>
          </w:p>
        </w:tc>
        <w:tc>
          <w:tcPr>
            <w:tcW w:w="24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Consistencia entre FD01...FD06, calidad de código y cobertura de casos de uso.</w:t>
            </w:r>
          </w:p>
        </w:tc>
      </w:tr>
      <w:tr w:rsidR="00A303F7" w:rsidTr="00A303F7">
        <w:tblPrEx>
          <w:tblCellMar>
            <w:top w:w="0" w:type="dxa"/>
            <w:bottom w:w="0" w:type="dxa"/>
          </w:tblCellMar>
        </w:tblPrEx>
        <w:trPr>
          <w:jc w:val="center"/>
        </w:trPr>
        <w:tc>
          <w:tcPr>
            <w:tcW w:w="20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Comunidad Tacneña</w:t>
            </w:r>
          </w:p>
        </w:tc>
        <w:tc>
          <w:tcPr>
            <w:tcW w:w="22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Sociedad civil y medio ambiente</w:t>
            </w:r>
          </w:p>
        </w:tc>
        <w:tc>
          <w:tcPr>
            <w:tcW w:w="28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Disminución de residuos sólidos orgánicos y fomento de sostenibilidad.</w:t>
            </w:r>
          </w:p>
        </w:tc>
        <w:tc>
          <w:tcPr>
            <w:tcW w:w="24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Indicadores medibles de kilogramos de alimentos rescatados.</w:t>
            </w:r>
          </w:p>
        </w:tc>
      </w:tr>
    </w:tbl>
    <w:p w:rsidR="00A303F7" w:rsidRDefault="00A303F7" w:rsidP="00A303F7">
      <w:pPr>
        <w:spacing w:after="120" w:line="276" w:lineRule="auto"/>
        <w:ind w:left="360"/>
      </w:pP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3.3 Perfiles de los Usuarios del Sistema</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El sistema contempla tres actores principales rigurosamente estructurados:</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Comprador: Usuario registrado con capacidad para explorar el catálogo, aplicar filtros avanzados por categoría, distrito y fecha de caducidad, visualizar fichas descriptivas, reservar productos mediante CU-05, coordinar la recepción o recojo con el vendedor, registrar calificaciones de 1 a 5 estrellas y llevar control de su historial.</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Vendedor: Comerciante individual o empresa que registra su perfil comercial, publica ofertas de productos perecibles especificando stock, precio original, fecha de caducidad y categoría; administra pedidos entrantes cambiando estados (pendiente, confirmado, entregado, cancelado) y accede a indicadores de ventas y métricas de impacto.</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Administrador del Sistema: Rol con privilegios globales para la supervisión del ecosistema: moderación de publicaciones reportadas o sospechosas, gestión del maestro de categorías, habilitación/bloqueo de cuentas de usuario, y generación de reportes consolidados provinciales.</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3.4 Entorno de los Usuarios y Condiciones de Uso</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El sistema operará bajo las siguientes condiciones reales del entorno tacneño:</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Dispositivos: Smartphones Android de gamas económica y media (pantallas de 5.5 a 6.7 pulgadas), laptops y computadoras de escritorio en oficinas o mostradores de atención.</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Conectividad: Redes móviles 3G/4G con señal variable al interior de pabellones techados de mercados como el Grau y Central; requiere optimización de paquetes HTTP y almacenamiento en caché de catálogos.</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Interfaz y Usabilidad: Patrones de diseño táctiles con botones de gran tamaño (mínimo 44x44 px), tipografía legible, validación inmediata de formularios y lenguaje claro sin jerga técnica.</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3.5 Necesidades Clave de los Interesados vs. Solución ÓrbiKa</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2400"/>
        <w:gridCol w:w="1200"/>
        <w:gridCol w:w="2600"/>
        <w:gridCol w:w="3200"/>
      </w:tblGrid>
      <w:tr w:rsidR="00A303F7" w:rsidTr="00A303F7">
        <w:tblPrEx>
          <w:tblCellMar>
            <w:top w:w="0" w:type="dxa"/>
            <w:bottom w:w="0" w:type="dxa"/>
          </w:tblCellMar>
        </w:tblPrEx>
        <w:trPr>
          <w:jc w:val="center"/>
        </w:trPr>
        <w:tc>
          <w:tcPr>
            <w:tcW w:w="24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Necesidad del Interesado</w:t>
            </w:r>
          </w:p>
        </w:tc>
        <w:tc>
          <w:tcPr>
            <w:tcW w:w="12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Prioridad</w:t>
            </w:r>
          </w:p>
        </w:tc>
        <w:tc>
          <w:tcPr>
            <w:tcW w:w="26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Solución Tradicional</w:t>
            </w:r>
          </w:p>
        </w:tc>
        <w:tc>
          <w:tcPr>
            <w:tcW w:w="32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Respuesta del Sistema ÓrbiKa</w:t>
            </w:r>
          </w:p>
        </w:tc>
      </w:tr>
      <w:tr w:rsidR="00A303F7" w:rsidTr="00A303F7">
        <w:tblPrEx>
          <w:tblCellMar>
            <w:top w:w="0" w:type="dxa"/>
            <w:bottom w:w="0" w:type="dxa"/>
          </w:tblCellMar>
        </w:tblPrEx>
        <w:trPr>
          <w:jc w:val="center"/>
        </w:trPr>
        <w:tc>
          <w:tcPr>
            <w:tcW w:w="24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Salida urgente a productos por vencer</w:t>
            </w:r>
          </w:p>
        </w:tc>
        <w:tc>
          <w:tcPr>
            <w:tcW w:w="12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Alta</w:t>
            </w:r>
          </w:p>
        </w:tc>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Rematar verbalmente al cierre o botar a la basura.</w:t>
            </w:r>
          </w:p>
        </w:tc>
        <w:tc>
          <w:tcPr>
            <w:tcW w:w="32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Publicación con descuento automatizado visible para cientos de compradores simultáneos.</w:t>
            </w:r>
          </w:p>
        </w:tc>
      </w:tr>
      <w:tr w:rsidR="00A303F7" w:rsidTr="00A303F7">
        <w:tblPrEx>
          <w:tblCellMar>
            <w:top w:w="0" w:type="dxa"/>
            <w:bottom w:w="0" w:type="dxa"/>
          </w:tblCellMar>
        </w:tblPrEx>
        <w:trPr>
          <w:jc w:val="center"/>
        </w:trPr>
        <w:tc>
          <w:tcPr>
            <w:tcW w:w="24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Ahorro en compras diarias de víveres</w:t>
            </w:r>
          </w:p>
        </w:tc>
        <w:tc>
          <w:tcPr>
            <w:tcW w:w="12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Alta</w:t>
            </w:r>
          </w:p>
        </w:tc>
        <w:tc>
          <w:tcPr>
            <w:tcW w:w="2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Búsqueda física puesto por puesto en el mercado.</w:t>
            </w:r>
          </w:p>
        </w:tc>
        <w:tc>
          <w:tcPr>
            <w:tcW w:w="32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Catálogo web unificado con filtros por proximidad geográfica y porcentaje de rebaja.</w:t>
            </w:r>
          </w:p>
        </w:tc>
      </w:tr>
      <w:tr w:rsidR="00A303F7" w:rsidTr="00A303F7">
        <w:tblPrEx>
          <w:tblCellMar>
            <w:top w:w="0" w:type="dxa"/>
            <w:bottom w:w="0" w:type="dxa"/>
          </w:tblCellMar>
        </w:tblPrEx>
        <w:trPr>
          <w:jc w:val="center"/>
        </w:trPr>
        <w:tc>
          <w:tcPr>
            <w:tcW w:w="24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Confianza y verificación del estado</w:t>
            </w:r>
          </w:p>
        </w:tc>
        <w:tc>
          <w:tcPr>
            <w:tcW w:w="12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Media-Alta</w:t>
            </w:r>
          </w:p>
        </w:tc>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Inspección presencial; riesgo de producto inservible.</w:t>
            </w:r>
          </w:p>
        </w:tc>
        <w:tc>
          <w:tcPr>
            <w:tcW w:w="32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Ficha técnica obligatoria con fecha de caducidad, foto real y sistema de reputación con estrellas.</w:t>
            </w:r>
          </w:p>
        </w:tc>
      </w:tr>
      <w:tr w:rsidR="00A303F7" w:rsidTr="00A303F7">
        <w:tblPrEx>
          <w:tblCellMar>
            <w:top w:w="0" w:type="dxa"/>
            <w:bottom w:w="0" w:type="dxa"/>
          </w:tblCellMar>
        </w:tblPrEx>
        <w:trPr>
          <w:jc w:val="center"/>
        </w:trPr>
        <w:tc>
          <w:tcPr>
            <w:tcW w:w="24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Operación sin cobro previo de comisiones</w:t>
            </w:r>
          </w:p>
        </w:tc>
        <w:tc>
          <w:tcPr>
            <w:tcW w:w="12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Media</w:t>
            </w:r>
          </w:p>
        </w:tc>
        <w:tc>
          <w:tcPr>
            <w:tcW w:w="26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Marketplaces comerciales que cobran cuotas fijas altas.</w:t>
            </w:r>
          </w:p>
        </w:tc>
        <w:tc>
          <w:tcPr>
            <w:tcW w:w="32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Acceso libre a funciones esenciales, cobro solo sobre transacción efectiva y plan premium voluntario.</w:t>
            </w:r>
          </w:p>
        </w:tc>
      </w:tr>
    </w:tbl>
    <w:p w:rsidR="00A303F7" w:rsidRDefault="00A303F7" w:rsidP="00A303F7">
      <w:pPr>
        <w:spacing w:after="120" w:line="276" w:lineRule="auto"/>
        <w:ind w:left="360"/>
      </w:pP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3.6 Alternativas Existentes y Análisis Competitivo</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1800"/>
        <w:gridCol w:w="1900"/>
        <w:gridCol w:w="1900"/>
        <w:gridCol w:w="1900"/>
        <w:gridCol w:w="1900"/>
      </w:tblGrid>
      <w:tr w:rsidR="00A303F7" w:rsidTr="00A303F7">
        <w:tblPrEx>
          <w:tblCellMar>
            <w:top w:w="0" w:type="dxa"/>
            <w:bottom w:w="0" w:type="dxa"/>
          </w:tblCellMar>
        </w:tblPrEx>
        <w:trPr>
          <w:jc w:val="center"/>
        </w:trPr>
        <w:tc>
          <w:tcPr>
            <w:tcW w:w="18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Criterio Comparativo</w:t>
            </w:r>
          </w:p>
        </w:tc>
        <w:tc>
          <w:tcPr>
            <w:tcW w:w="19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Grupos WhatsApp/FB</w:t>
            </w:r>
          </w:p>
        </w:tc>
        <w:tc>
          <w:tcPr>
            <w:tcW w:w="19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Remate en Mercado</w:t>
            </w:r>
          </w:p>
        </w:tc>
        <w:tc>
          <w:tcPr>
            <w:tcW w:w="19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Too Good To Go / Olio</w:t>
            </w:r>
          </w:p>
        </w:tc>
        <w:tc>
          <w:tcPr>
            <w:tcW w:w="19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Plataforma ÓrbiKa</w:t>
            </w:r>
          </w:p>
        </w:tc>
      </w:tr>
      <w:tr w:rsidR="00A303F7" w:rsidTr="00A303F7">
        <w:tblPrEx>
          <w:tblCellMar>
            <w:top w:w="0" w:type="dxa"/>
            <w:bottom w:w="0" w:type="dxa"/>
          </w:tblCellMar>
        </w:tblPrEx>
        <w:trPr>
          <w:jc w:val="center"/>
        </w:trPr>
        <w:tc>
          <w:tcPr>
            <w:tcW w:w="1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Alcance en Tacna</w:t>
            </w:r>
          </w:p>
        </w:tc>
        <w:tc>
          <w:tcPr>
            <w:tcW w:w="19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Local pero disperso</w:t>
            </w:r>
          </w:p>
        </w:tc>
        <w:tc>
          <w:tcPr>
            <w:tcW w:w="19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Físico muy reducido</w:t>
            </w:r>
          </w:p>
        </w:tc>
        <w:tc>
          <w:tcPr>
            <w:tcW w:w="19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Inexistente en Perú</w:t>
            </w:r>
          </w:p>
        </w:tc>
        <w:tc>
          <w:tcPr>
            <w:tcW w:w="19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Específico y enfocado en Tacna</w:t>
            </w:r>
          </w:p>
        </w:tc>
      </w:tr>
      <w:tr w:rsidR="00A303F7" w:rsidTr="00A303F7">
        <w:tblPrEx>
          <w:tblCellMar>
            <w:top w:w="0" w:type="dxa"/>
            <w:bottom w:w="0" w:type="dxa"/>
          </w:tblCellMar>
        </w:tblPrEx>
        <w:trPr>
          <w:jc w:val="center"/>
        </w:trPr>
        <w:tc>
          <w:tcPr>
            <w:tcW w:w="18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Descuento asistido</w:t>
            </w:r>
          </w:p>
        </w:tc>
        <w:tc>
          <w:tcPr>
            <w:tcW w:w="19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No (fijación empírica)</w:t>
            </w:r>
          </w:p>
        </w:tc>
        <w:tc>
          <w:tcPr>
            <w:tcW w:w="19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No estructurado</w:t>
            </w:r>
          </w:p>
        </w:tc>
        <w:tc>
          <w:tcPr>
            <w:tcW w:w="19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Paquetes sorpresa fijos</w:t>
            </w:r>
          </w:p>
        </w:tc>
        <w:tc>
          <w:tcPr>
            <w:tcW w:w="19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Sí, algoritmo por días de caducidad</w:t>
            </w:r>
          </w:p>
        </w:tc>
      </w:tr>
      <w:tr w:rsidR="00A303F7" w:rsidTr="00A303F7">
        <w:tblPrEx>
          <w:tblCellMar>
            <w:top w:w="0" w:type="dxa"/>
            <w:bottom w:w="0" w:type="dxa"/>
          </w:tblCellMar>
        </w:tblPrEx>
        <w:trPr>
          <w:jc w:val="center"/>
        </w:trPr>
        <w:tc>
          <w:tcPr>
            <w:tcW w:w="1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Reserva y Stock</w:t>
            </w:r>
          </w:p>
        </w:tc>
        <w:tc>
          <w:tcPr>
            <w:tcW w:w="19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Desorganizada / chats</w:t>
            </w:r>
          </w:p>
        </w:tc>
        <w:tc>
          <w:tcPr>
            <w:tcW w:w="19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Solo en puesto físico</w:t>
            </w:r>
          </w:p>
        </w:tc>
        <w:tc>
          <w:tcPr>
            <w:tcW w:w="19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Sí, prepago app</w:t>
            </w:r>
          </w:p>
        </w:tc>
        <w:tc>
          <w:tcPr>
            <w:tcW w:w="19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Sí, reserva inmediata en base de datos</w:t>
            </w:r>
          </w:p>
        </w:tc>
      </w:tr>
      <w:tr w:rsidR="00A303F7" w:rsidTr="00A303F7">
        <w:tblPrEx>
          <w:tblCellMar>
            <w:top w:w="0" w:type="dxa"/>
            <w:bottom w:w="0" w:type="dxa"/>
          </w:tblCellMar>
        </w:tblPrEx>
        <w:trPr>
          <w:jc w:val="center"/>
        </w:trPr>
        <w:tc>
          <w:tcPr>
            <w:tcW w:w="18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Métricas de Impacto</w:t>
            </w:r>
          </w:p>
        </w:tc>
        <w:tc>
          <w:tcPr>
            <w:tcW w:w="19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Nula</w:t>
            </w:r>
          </w:p>
        </w:tc>
        <w:tc>
          <w:tcPr>
            <w:tcW w:w="19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Nula</w:t>
            </w:r>
          </w:p>
        </w:tc>
        <w:tc>
          <w:tcPr>
            <w:tcW w:w="19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Global en el extranjero</w:t>
            </w:r>
          </w:p>
        </w:tc>
        <w:tc>
          <w:tcPr>
            <w:tcW w:w="19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Métricas locales en tiempo real (Kg y CO2)</w:t>
            </w:r>
          </w:p>
        </w:tc>
      </w:tr>
      <w:tr w:rsidR="00A303F7" w:rsidTr="00A303F7">
        <w:tblPrEx>
          <w:tblCellMar>
            <w:top w:w="0" w:type="dxa"/>
            <w:bottom w:w="0" w:type="dxa"/>
          </w:tblCellMar>
        </w:tblPrEx>
        <w:trPr>
          <w:jc w:val="center"/>
        </w:trPr>
        <w:tc>
          <w:tcPr>
            <w:tcW w:w="18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00" w:line="276" w:lineRule="auto"/>
              <w:jc w:val="center"/>
              <w:rPr>
                <w:rFonts w:ascii="Times New Roman" w:hAnsi="Times New Roman" w:cs="Times New Roman"/>
                <w:color w:val="111111"/>
                <w:sz w:val="19"/>
              </w:rPr>
            </w:pPr>
            <w:r w:rsidRPr="00A303F7">
              <w:rPr>
                <w:rFonts w:ascii="Times New Roman" w:hAnsi="Times New Roman" w:cs="Times New Roman"/>
                <w:color w:val="111111"/>
                <w:sz w:val="19"/>
              </w:rPr>
              <w:t>Acceso sin instalar app</w:t>
            </w:r>
          </w:p>
        </w:tc>
        <w:tc>
          <w:tcPr>
            <w:tcW w:w="19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Requiere app de mensajería</w:t>
            </w:r>
          </w:p>
        </w:tc>
        <w:tc>
          <w:tcPr>
            <w:tcW w:w="19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Presencial</w:t>
            </w:r>
          </w:p>
        </w:tc>
        <w:tc>
          <w:tcPr>
            <w:tcW w:w="19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Requiere app móvil pesada</w:t>
            </w:r>
          </w:p>
        </w:tc>
        <w:tc>
          <w:tcPr>
            <w:tcW w:w="19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Web responsive universal e instantánea</w:t>
            </w:r>
          </w:p>
        </w:tc>
      </w:tr>
    </w:tbl>
    <w:p w:rsidR="00A303F7" w:rsidRDefault="00A303F7" w:rsidP="00A303F7">
      <w:pPr>
        <w:spacing w:after="120" w:line="276" w:lineRule="auto"/>
        <w:ind w:left="360"/>
      </w:pPr>
    </w:p>
    <w:p w:rsidR="00A303F7" w:rsidRDefault="00A303F7" w:rsidP="00A303F7">
      <w:pPr>
        <w:spacing w:line="276" w:lineRule="auto"/>
        <w:ind w:left="360"/>
        <w:rPr>
          <w:rFonts w:ascii="Times New Roman" w:hAnsi="Times New Roman" w:cs="Times New Roman"/>
          <w:b/>
          <w:color w:val="1E3A2B"/>
          <w:sz w:val="28"/>
        </w:rPr>
      </w:pPr>
      <w:r w:rsidRPr="00A303F7">
        <w:rPr>
          <w:rFonts w:ascii="Times New Roman" w:hAnsi="Times New Roman" w:cs="Times New Roman"/>
          <w:b/>
          <w:color w:val="1E3A2B"/>
          <w:sz w:val="28"/>
        </w:rPr>
        <w:t>4. VISTA GENERAL DEL PRODUCTO</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4.1 Perspectiva y Arquitectura Conceptual del Sistema</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ÓrbiKa ha sido diseñado como una arquitectura cliente-servidor desacoplada basada en servicios REST y Single Page Application (SPA). El cliente web (desarrollado en React 18 con Vite y Tailwind CSS) interactúa de forma asíncrona contra una API RESTful desarrollada sobre Node.js y Express. La capa de persistencia reside en PostgreSQL (gestionada mediante Supabase), incorporando políticas de seguridad Row Level Security (RLS) para proteger los datos de compradores y vendedores.</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4.2 Matriz de Capacidades y Beneficios Clave</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2600"/>
        <w:gridCol w:w="4200"/>
        <w:gridCol w:w="2600"/>
      </w:tblGrid>
      <w:tr w:rsidR="00A303F7" w:rsidTr="00A303F7">
        <w:tblPrEx>
          <w:tblCellMar>
            <w:top w:w="0" w:type="dxa"/>
            <w:bottom w:w="0" w:type="dxa"/>
          </w:tblCellMar>
        </w:tblPrEx>
        <w:trPr>
          <w:jc w:val="center"/>
        </w:trPr>
        <w:tc>
          <w:tcPr>
            <w:tcW w:w="26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Capacidad del Sistema</w:t>
            </w:r>
          </w:p>
        </w:tc>
        <w:tc>
          <w:tcPr>
            <w:tcW w:w="42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Beneficio Directo para el Usuario</w:t>
            </w:r>
          </w:p>
        </w:tc>
        <w:tc>
          <w:tcPr>
            <w:tcW w:w="26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after="100"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Módulo / CU Asociado</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Registro diferenciado de roles</w:t>
            </w:r>
          </w:p>
        </w:tc>
        <w:tc>
          <w:tcPr>
            <w:tcW w:w="42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Experiencia adaptada al perfil de comerciante o comprador familiar.</w:t>
            </w:r>
          </w:p>
        </w:tc>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Usuarios / CU-01, CU-02</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Cálculo asistido de descuento</w:t>
            </w:r>
          </w:p>
        </w:tc>
        <w:tc>
          <w:tcPr>
            <w:tcW w:w="42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Precios sugeridos según días restantes para el vencimiento óptimo.</w:t>
            </w:r>
          </w:p>
        </w:tc>
        <w:tc>
          <w:tcPr>
            <w:tcW w:w="2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Productos / CU-07, CU-19</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Catálogo interactivo con geofiltros</w:t>
            </w:r>
          </w:p>
        </w:tc>
        <w:tc>
          <w:tcPr>
            <w:tcW w:w="42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Localización rápida de alimentos en distritos específicos de Tacna.</w:t>
            </w:r>
          </w:p>
        </w:tc>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Productos / CU-03, CU-04</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Reserva atómica de inventario</w:t>
            </w:r>
          </w:p>
        </w:tc>
        <w:tc>
          <w:tcPr>
            <w:tcW w:w="42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Garantía de compra sin sobreventa mediante transacciones ACID en BD.</w:t>
            </w:r>
          </w:p>
        </w:tc>
        <w:tc>
          <w:tcPr>
            <w:tcW w:w="2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Transacciones / CU-05, CU-08</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Evaluación y retroalimentación</w:t>
            </w:r>
          </w:p>
        </w:tc>
        <w:tc>
          <w:tcPr>
            <w:tcW w:w="42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Reputación verificada que combate malas prácticas y genera confianza.</w:t>
            </w:r>
          </w:p>
        </w:tc>
        <w:tc>
          <w:tcPr>
            <w:tcW w:w="2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Transacciones / CU-06</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Métricas de revalorización</w:t>
            </w:r>
          </w:p>
        </w:tc>
        <w:tc>
          <w:tcPr>
            <w:tcW w:w="42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Conciencia ecológica y posicionamiento de marcas sostenibles.</w:t>
            </w:r>
          </w:p>
        </w:tc>
        <w:tc>
          <w:tcPr>
            <w:tcW w:w="2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Impacto / CU-12</w:t>
            </w:r>
          </w:p>
        </w:tc>
      </w:tr>
      <w:tr w:rsidR="00A303F7" w:rsidTr="00A303F7">
        <w:tblPrEx>
          <w:tblCellMar>
            <w:top w:w="0" w:type="dxa"/>
            <w:bottom w:w="0" w:type="dxa"/>
          </w:tblCellMar>
        </w:tblPrEx>
        <w:trPr>
          <w:jc w:val="center"/>
        </w:trPr>
        <w:tc>
          <w:tcPr>
            <w:tcW w:w="26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Moderación administrativa</w:t>
            </w:r>
          </w:p>
        </w:tc>
        <w:tc>
          <w:tcPr>
            <w:tcW w:w="42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Protección del consumidor y eliminación de publicaciones ilícitas.</w:t>
            </w:r>
          </w:p>
        </w:tc>
        <w:tc>
          <w:tcPr>
            <w:tcW w:w="26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after="100" w:line="276" w:lineRule="auto"/>
              <w:rPr>
                <w:rFonts w:ascii="Times New Roman" w:hAnsi="Times New Roman" w:cs="Times New Roman"/>
                <w:color w:val="111111"/>
                <w:sz w:val="19"/>
              </w:rPr>
            </w:pPr>
            <w:r w:rsidRPr="00A303F7">
              <w:rPr>
                <w:rFonts w:ascii="Times New Roman" w:hAnsi="Times New Roman" w:cs="Times New Roman"/>
                <w:color w:val="111111"/>
                <w:sz w:val="19"/>
              </w:rPr>
              <w:t>Administración / CU-11, CU-18</w:t>
            </w:r>
          </w:p>
        </w:tc>
      </w:tr>
    </w:tbl>
    <w:p w:rsidR="00A303F7" w:rsidRDefault="00A303F7" w:rsidP="00A303F7">
      <w:pPr>
        <w:spacing w:after="120" w:line="276" w:lineRule="auto"/>
        <w:ind w:left="360"/>
      </w:pP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4.3 Suposiciones y Dependencias Críticas</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Disponibilidad de conectividad a internet móvil o fija en los usuarios al momento de efectuar publicaciones y reservas.</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Veracidad de las fechas de vencimiento declaradas por los vendedores, respaldada por la obligación de ingresar datos exactos y por el canal de reporte ciudadano CU-18.</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Continuidad de los servicios cloud de soporte: Supabase (PostgreSQL y autenticación), Render (hosting backend/frontend) y Cloudinary (gestión de imágenes).</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4.4 Modelo Económico y Estructura de Precios</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El modelo económico del proyecto, formulado y validado en el Estudio de Factibilidad (FD01), contempla dos fuentes de monetización sostenibles:</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Comisión por Éxito del 5%: Cobrada sobre el monto total de pedidos completados satisfactoriamente a través de la plataforma.</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Suscripción Premium para Vendedores Frecuentes: Cuota mensual accesible de S/ 29.90 que brinda a comerciantes y minimarkets publicaciones destacadas en el catálogo, analítica avanzada de ventas y distintivo de «Comercio Comprometido con el Desperdicio Cero».</w:t>
      </w:r>
    </w:p>
    <w:p w:rsidR="00A303F7" w:rsidRDefault="00A303F7" w:rsidP="00A303F7">
      <w:pPr>
        <w:spacing w:line="276" w:lineRule="auto"/>
        <w:ind w:left="360"/>
        <w:rPr>
          <w:rFonts w:ascii="Times New Roman" w:hAnsi="Times New Roman" w:cs="Times New Roman"/>
          <w:b/>
          <w:color w:val="1E3A2B"/>
          <w:sz w:val="28"/>
        </w:rPr>
      </w:pPr>
      <w:r w:rsidRPr="00A303F7">
        <w:rPr>
          <w:rFonts w:ascii="Times New Roman" w:hAnsi="Times New Roman" w:cs="Times New Roman"/>
          <w:b/>
          <w:color w:val="1E3A2B"/>
          <w:sz w:val="28"/>
        </w:rPr>
        <w:t>5. CARACTERÍSTICAS PRINCIPALES DEL PRODUCTO (FEATURES)</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A continuación se definen las 8 grandes características de producto que abarcan la totalidad del alcance funcional del sistema:</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5.1 FEAT-01: Registro y Autenticación con Perfiles Diferenciados</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Permite el enrolamiento seguro de usuarios clasificándolos desde el inicio como Comprador o Vendedor. Implementa validación rigurosa de contraseñas mediante hashing bcrypt, tokens JWT con caducidad programada y soporte de recuperación de acceso mediante correo electrónico (CU-01, CU-02, CU-13, CU-14).</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5.2 FEAT-02: Publicación Asistida con Algoritmo de Descuento Progresivo</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Permite a los comerciantes crear fichas de producto perecible en menos de 2 minutos. El sistema incluye un calculador dinámico que sugiere porcentajes de descuento recomendados (del 20% al 60%) en función directa a los días u horas restantes antes de la caducidad (CU-07, CU-19).</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5.3 FEAT-03: Catálogo Interactivo, Búsqueda Multicriterio y Filtro Geográfico</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Interfaz de exploración que organiza las publicaciones por categorías alimentarias (frutas y verduras, panadería, lácteos, carnes y embutidos, platos preparados), permitiendo filtrar por distrito de Tacna, rango de precio y proximidad de caducidad (CU-03, CU-04, CU-15, CU-20).</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5.4 FEAT-04: Gestión Transaccional de Pedidos y Reserva de Stock</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Control de pedidos con estados estrictos (Pendiente, Confirmado, Entregado, Cancelado). Al concretar una reserva, el sistema descuenta el stock de forma atómica evitando inconsistencias de concurrencia. Asimismo, permite la cancelación oportuna restableciendo automáticamente el stock disponible (CU-05, CU-08, CU-17).</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5.5 FEAT-05: Sistema de Reputación y Calificaciones Bidireccionales</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Los compradores pueden valorar la calidad del producto y el servicio del vendedor en una escala de 1 a 5 estrellas acompañada de comentarios. El puntaje promedio se visualiza públicamente en el perfil del comercio fomentando la transparencia (CU-06).</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5.6 FEAT-06: Panel de Analítica e Indicadores de Impacto Ambiental</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Motor estadístico que computa los kilogramos totales de alimentos revalorizados, la cantidad de raciones aprovechadas, el monto monetario total ahorrado por las familias y las toneladas estimadas de CO2 equivalente evitadas en vertederos (CU-09, CU-12).</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5.7 FEAT-07: Moderación Administrativa, Control de Incidencias y Reportes</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Herramientas de control para que los administradores puedan suspender publicaciones fraudulentas, revisar quejas ciudadanas mediante tickets de reporte y dar de baja usuarios reincidentes (CU-10, CU-11, CU-18).</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5.8 FEAT-08: Gestión Comercial y Planes Premium para Vendedores</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Módulo de afiliación y suscripción a planes profesionales que potencia el posicionamiento de negocios formales e incrementa la recurrencia de ventas (CU-21).</w:t>
      </w:r>
    </w:p>
    <w:p w:rsidR="00A303F7" w:rsidRDefault="00A303F7" w:rsidP="00A303F7">
      <w:pPr>
        <w:spacing w:line="276" w:lineRule="auto"/>
        <w:ind w:left="360"/>
        <w:rPr>
          <w:rFonts w:ascii="Times New Roman" w:hAnsi="Times New Roman" w:cs="Times New Roman"/>
          <w:b/>
          <w:color w:val="1E3A2B"/>
          <w:sz w:val="28"/>
        </w:rPr>
      </w:pPr>
      <w:r w:rsidRPr="00A303F7">
        <w:rPr>
          <w:rFonts w:ascii="Times New Roman" w:hAnsi="Times New Roman" w:cs="Times New Roman"/>
          <w:b/>
          <w:color w:val="1E3A2B"/>
          <w:sz w:val="28"/>
        </w:rPr>
        <w:t>6. RESTRICCIONES DEL SISTEMA</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6.1 Restricciones Técnicas y de Plataforma</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Compatibilidad de Navegadores: Ejecución garantizada en Google Chrome, Mozilla Firefox, Safari y Microsoft Edge en versiones lanzadas desde 2022 en adelante.</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Stack Tecnológico: Desarrollo sobre Node.js v18+, Express, React 18, Tailwind CSS y PostgreSQL sobre Supabase.</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Sin Aplicación Nativa Inicial: En la primera fase (MVP), la plataforma no desplegará instaladores APK o IPA para tiendas de aplicaciones; se prioriza una Web App Responsive ligera accesible mediante enlace directo.</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6.2 Restricciones Operativas y de Alfabetización Digital</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La interacción del comerciante debe estar libre de formularios complejos. Toda acción primaria (publicar, aceptar pedido, finalizar venta) debe completarse en máximo 3 pasos para asegurar adopción en usuarios de 40 a 65 años de edad en mercados populares.</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6.3 Restricciones Legales, Normativas y Sanitarias</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Protección de Datos: Cumplimiento estricto de la Ley N.º 29733 mediante cláusulas de consentimiento para almacenamiento de teléfonos y correos.</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Inocuidad Alimentaria: La plataforma estipula en sus Términos y Condiciones que actúa exclusivamente como intermediario tecnológico; la condición sanitaria del alimento es responsabilidad legal del vendedor oferente según la Ley N.º 29571.</w:t>
      </w:r>
    </w:p>
    <w:p w:rsidR="00A303F7" w:rsidRDefault="00A303F7" w:rsidP="00A303F7">
      <w:pPr>
        <w:spacing w:line="276" w:lineRule="auto"/>
        <w:ind w:left="360"/>
        <w:rPr>
          <w:rFonts w:ascii="Times New Roman" w:hAnsi="Times New Roman" w:cs="Times New Roman"/>
          <w:b/>
          <w:color w:val="1E3A2B"/>
          <w:sz w:val="28"/>
        </w:rPr>
      </w:pPr>
      <w:r w:rsidRPr="00A303F7">
        <w:rPr>
          <w:rFonts w:ascii="Times New Roman" w:hAnsi="Times New Roman" w:cs="Times New Roman"/>
          <w:b/>
          <w:color w:val="1E3A2B"/>
          <w:sz w:val="28"/>
        </w:rPr>
        <w:t>7. RANGOS DE CALIDAD Y ATRIBUTOS NO FUNCIONALES</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2800"/>
        <w:gridCol w:w="6600"/>
      </w:tblGrid>
      <w:tr w:rsidR="00A303F7" w:rsidTr="00A303F7">
        <w:tblPrEx>
          <w:tblCellMar>
            <w:top w:w="0" w:type="dxa"/>
            <w:bottom w:w="0" w:type="dxa"/>
          </w:tblCellMar>
        </w:tblPrEx>
        <w:trPr>
          <w:jc w:val="center"/>
        </w:trPr>
        <w:tc>
          <w:tcPr>
            <w:tcW w:w="28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Atributo de Calidad</w:t>
            </w:r>
          </w:p>
        </w:tc>
        <w:tc>
          <w:tcPr>
            <w:tcW w:w="66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Métrica / Criterio Objetivo Verificable</w:t>
            </w:r>
          </w:p>
        </w:tc>
      </w:tr>
      <w:tr w:rsidR="00A303F7" w:rsidTr="00A303F7">
        <w:tblPrEx>
          <w:tblCellMar>
            <w:top w:w="0" w:type="dxa"/>
            <w:bottom w:w="0" w:type="dxa"/>
          </w:tblCellMar>
        </w:tblPrEx>
        <w:trPr>
          <w:jc w:val="center"/>
        </w:trPr>
        <w:tc>
          <w:tcPr>
            <w:tcW w:w="2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Usabilidad (RNF-01)</w:t>
            </w:r>
          </w:p>
        </w:tc>
        <w:tc>
          <w:tcPr>
            <w:tcW w:w="6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Tiempo de aprendizaje de un vendedor novato menor a 15 minutos para publicar su primer producto; tasa de error de formulario menor al 5%.</w:t>
            </w:r>
          </w:p>
        </w:tc>
      </w:tr>
      <w:tr w:rsidR="00A303F7" w:rsidTr="00A303F7">
        <w:tblPrEx>
          <w:tblCellMar>
            <w:top w:w="0" w:type="dxa"/>
            <w:bottom w:w="0" w:type="dxa"/>
          </w:tblCellMar>
        </w:tblPrEx>
        <w:trPr>
          <w:jc w:val="center"/>
        </w:trPr>
        <w:tc>
          <w:tcPr>
            <w:tcW w:w="28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Rendimiento (RNF-02)</w:t>
            </w:r>
          </w:p>
        </w:tc>
        <w:tc>
          <w:tcPr>
            <w:tcW w:w="6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Tiempo de respuesta en consultas de catálogo menor a 1.5 segundos bajo cargas normales; carga de página inicial menor a 2.5 segundos en 4G.</w:t>
            </w:r>
          </w:p>
        </w:tc>
      </w:tr>
      <w:tr w:rsidR="00A303F7" w:rsidTr="00A303F7">
        <w:tblPrEx>
          <w:tblCellMar>
            <w:top w:w="0" w:type="dxa"/>
            <w:bottom w:w="0" w:type="dxa"/>
          </w:tblCellMar>
        </w:tblPrEx>
        <w:trPr>
          <w:jc w:val="center"/>
        </w:trPr>
        <w:tc>
          <w:tcPr>
            <w:tcW w:w="28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Seguridad (RNF-03)</w:t>
            </w:r>
          </w:p>
        </w:tc>
        <w:tc>
          <w:tcPr>
            <w:tcW w:w="66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Contraseñas protegidas mediante salting y hashing bcrypt (cost factor &gt;= 10); aislamiento de datos mediante RLS en PostgreSQL.</w:t>
            </w:r>
          </w:p>
        </w:tc>
      </w:tr>
      <w:tr w:rsidR="00A303F7" w:rsidTr="00A303F7">
        <w:tblPrEx>
          <w:tblCellMar>
            <w:top w:w="0" w:type="dxa"/>
            <w:bottom w:w="0" w:type="dxa"/>
          </w:tblCellMar>
        </w:tblPrEx>
        <w:trPr>
          <w:jc w:val="center"/>
        </w:trPr>
        <w:tc>
          <w:tcPr>
            <w:tcW w:w="28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Disponibilidad (RNF-04)</w:t>
            </w:r>
          </w:p>
        </w:tc>
        <w:tc>
          <w:tcPr>
            <w:tcW w:w="66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Disponibilidad del servicio web superior al 99.0% en horario comercial de abastos (06:00 a 20:00 horas en Tacna).</w:t>
            </w:r>
          </w:p>
        </w:tc>
      </w:tr>
      <w:tr w:rsidR="00A303F7" w:rsidTr="00A303F7">
        <w:tblPrEx>
          <w:tblCellMar>
            <w:top w:w="0" w:type="dxa"/>
            <w:bottom w:w="0" w:type="dxa"/>
          </w:tblCellMar>
        </w:tblPrEx>
        <w:trPr>
          <w:jc w:val="center"/>
        </w:trPr>
        <w:tc>
          <w:tcPr>
            <w:tcW w:w="28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Mantenibilidad (RNF-05)</w:t>
            </w:r>
          </w:p>
        </w:tc>
        <w:tc>
          <w:tcPr>
            <w:tcW w:w="6600" w:type="dxa"/>
            <w:tcBorders>
              <w:top w:val="single" w:sz="4" w:space="0" w:color="E0E0E0"/>
              <w:bottom w:val="single" w:sz="4" w:space="0" w:color="D9D9D9"/>
            </w:tcBorders>
            <w:shd w:val="clear" w:color="auto" w:fill="FFFFFF"/>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Código modular desacoplado en capas (controlador, servicio, repositorio) con trazabilidad directa a los 21 casos de uso.</w:t>
            </w:r>
          </w:p>
        </w:tc>
      </w:tr>
    </w:tbl>
    <w:p w:rsidR="00A303F7" w:rsidRDefault="00A303F7" w:rsidP="00A303F7">
      <w:pPr>
        <w:spacing w:after="120" w:line="276" w:lineRule="auto"/>
        <w:ind w:left="360"/>
      </w:pPr>
    </w:p>
    <w:p w:rsidR="00A303F7" w:rsidRDefault="00A303F7" w:rsidP="00A303F7">
      <w:pPr>
        <w:spacing w:line="276" w:lineRule="auto"/>
        <w:ind w:left="360"/>
        <w:rPr>
          <w:rFonts w:ascii="Times New Roman" w:hAnsi="Times New Roman" w:cs="Times New Roman"/>
          <w:b/>
          <w:color w:val="1E3A2B"/>
          <w:sz w:val="28"/>
        </w:rPr>
      </w:pPr>
      <w:r w:rsidRPr="00A303F7">
        <w:rPr>
          <w:rFonts w:ascii="Times New Roman" w:hAnsi="Times New Roman" w:cs="Times New Roman"/>
          <w:b/>
          <w:color w:val="1E3A2B"/>
          <w:sz w:val="28"/>
        </w:rPr>
        <w:t>8. PRIORIZACIÓN DE CARACTERÍSTICAS (MATRIZ MOSCOW)</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2400"/>
        <w:gridCol w:w="4000"/>
        <w:gridCol w:w="3000"/>
      </w:tblGrid>
      <w:tr w:rsidR="00A303F7" w:rsidTr="00A303F7">
        <w:tblPrEx>
          <w:tblCellMar>
            <w:top w:w="0" w:type="dxa"/>
            <w:bottom w:w="0" w:type="dxa"/>
          </w:tblCellMar>
        </w:tblPrEx>
        <w:trPr>
          <w:jc w:val="center"/>
        </w:trPr>
        <w:tc>
          <w:tcPr>
            <w:tcW w:w="24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Prioridad MoSCoW</w:t>
            </w:r>
          </w:p>
        </w:tc>
        <w:tc>
          <w:tcPr>
            <w:tcW w:w="40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Características y Casos de Uso Comprendidos</w:t>
            </w:r>
          </w:p>
        </w:tc>
        <w:tc>
          <w:tcPr>
            <w:tcW w:w="3000" w:type="dxa"/>
            <w:tcBorders>
              <w:top w:val="single" w:sz="4" w:space="0" w:color="D9D9D9"/>
              <w:bottom w:val="single" w:sz="4" w:space="0" w:color="E0E0E0"/>
            </w:tcBorders>
            <w:shd w:val="clear" w:color="auto" w:fill="1E3A2B"/>
            <w:tcMar>
              <w:top w:w="100" w:type="dxa"/>
              <w:bottom w:w="100" w:type="dxa"/>
            </w:tcMar>
            <w:vAlign w:val="center"/>
          </w:tcPr>
          <w:p w:rsidR="00A303F7" w:rsidRPr="00A303F7" w:rsidRDefault="00A303F7" w:rsidP="00A303F7">
            <w:pPr>
              <w:spacing w:line="276" w:lineRule="auto"/>
              <w:jc w:val="center"/>
              <w:rPr>
                <w:rFonts w:ascii="Times New Roman" w:hAnsi="Times New Roman" w:cs="Times New Roman"/>
                <w:b/>
                <w:color w:val="FFFFFF"/>
                <w:sz w:val="20"/>
              </w:rPr>
            </w:pPr>
            <w:r w:rsidRPr="00A303F7">
              <w:rPr>
                <w:rFonts w:ascii="Times New Roman" w:hAnsi="Times New Roman" w:cs="Times New Roman"/>
                <w:b/>
                <w:color w:val="FFFFFF"/>
                <w:sz w:val="20"/>
              </w:rPr>
              <w:t>Justificación</w:t>
            </w:r>
          </w:p>
        </w:tc>
      </w:tr>
      <w:tr w:rsidR="00A303F7" w:rsidTr="00A303F7">
        <w:tblPrEx>
          <w:tblCellMar>
            <w:top w:w="0" w:type="dxa"/>
            <w:bottom w:w="0" w:type="dxa"/>
          </w:tblCellMar>
        </w:tblPrEx>
        <w:trPr>
          <w:jc w:val="center"/>
        </w:trPr>
        <w:tc>
          <w:tcPr>
            <w:tcW w:w="24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Must Have (Obligatorio)</w:t>
            </w:r>
          </w:p>
        </w:tc>
        <w:tc>
          <w:tcPr>
            <w:tcW w:w="40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CU-01 a CU-08, CU-13, CU-17 (Registro, Login, Catálogo, Detalle, Compra, Calificación, Publicación, Pedidos, Cancelación).</w:t>
            </w:r>
          </w:p>
        </w:tc>
        <w:tc>
          <w:tcPr>
            <w:tcW w:w="30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Constituyen el núcleo transaccional mínimo viable sin el cual el marketplace no puede operar.</w:t>
            </w:r>
          </w:p>
        </w:tc>
      </w:tr>
      <w:tr w:rsidR="00A303F7" w:rsidTr="00A303F7">
        <w:tblPrEx>
          <w:tblCellMar>
            <w:top w:w="0" w:type="dxa"/>
            <w:bottom w:w="0" w:type="dxa"/>
          </w:tblCellMar>
        </w:tblPrEx>
        <w:trPr>
          <w:jc w:val="center"/>
        </w:trPr>
        <w:tc>
          <w:tcPr>
            <w:tcW w:w="24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Should Have (Importante)</w:t>
            </w:r>
          </w:p>
        </w:tc>
        <w:tc>
          <w:tcPr>
            <w:tcW w:w="40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CU-10, CU-11, CU-12, CU-14, CU-18, CU-19 (Gestión de usuarios, Moderación, Reportes de Impacto, Edición de perfil, Reporte de infracción).</w:t>
            </w:r>
          </w:p>
        </w:tc>
        <w:tc>
          <w:tcPr>
            <w:tcW w:w="3000" w:type="dxa"/>
            <w:tcBorders>
              <w:top w:val="single" w:sz="4" w:space="0" w:color="E0E0E0"/>
              <w:bottom w:val="single" w:sz="4" w:space="0" w:color="E0E0E0"/>
            </w:tcBorders>
            <w:shd w:val="clear" w:color="auto" w:fill="F4F1E6"/>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Vitales para la administración del ecosistema, gobernanza y cuantificación del impacto ambiental.</w:t>
            </w:r>
          </w:p>
        </w:tc>
      </w:tr>
      <w:tr w:rsidR="00A303F7" w:rsidTr="00A303F7">
        <w:tblPrEx>
          <w:tblCellMar>
            <w:top w:w="0" w:type="dxa"/>
            <w:bottom w:w="0" w:type="dxa"/>
          </w:tblCellMar>
        </w:tblPrEx>
        <w:trPr>
          <w:jc w:val="center"/>
        </w:trPr>
        <w:tc>
          <w:tcPr>
            <w:tcW w:w="24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Could Have (Deseable)</w:t>
            </w:r>
          </w:p>
        </w:tc>
        <w:tc>
          <w:tcPr>
            <w:tcW w:w="40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CU-09, CU-15, CU-16, CU-20, CU-21 (Estadísticas comerciales, Favoritos, Mensajería interna, Gestión de categorías, Plan premium).</w:t>
            </w:r>
          </w:p>
        </w:tc>
        <w:tc>
          <w:tcPr>
            <w:tcW w:w="3000" w:type="dxa"/>
            <w:tcBorders>
              <w:top w:val="single" w:sz="4" w:space="0" w:color="E0E0E0"/>
              <w:bottom w:val="single" w:sz="4" w:space="0" w:color="E0E0E0"/>
            </w:tcBorders>
            <w:shd w:val="clear" w:color="auto" w:fill="FFFFFF"/>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Aportan valor agregado de retención comercial y fidelización de negocios.</w:t>
            </w:r>
          </w:p>
        </w:tc>
      </w:tr>
      <w:tr w:rsidR="00A303F7" w:rsidTr="00A303F7">
        <w:tblPrEx>
          <w:tblCellMar>
            <w:top w:w="0" w:type="dxa"/>
            <w:bottom w:w="0" w:type="dxa"/>
          </w:tblCellMar>
        </w:tblPrEx>
        <w:trPr>
          <w:jc w:val="center"/>
        </w:trPr>
        <w:tc>
          <w:tcPr>
            <w:tcW w:w="24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Won't Have (Fuera de v1.0)</w:t>
            </w:r>
          </w:p>
        </w:tc>
        <w:tc>
          <w:tcPr>
            <w:tcW w:w="40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Pasarela integrada con retención bancaria, delivery propio de motos y app móvil nativa para tiendas Play Store.</w:t>
            </w:r>
          </w:p>
        </w:tc>
        <w:tc>
          <w:tcPr>
            <w:tcW w:w="3000" w:type="dxa"/>
            <w:tcBorders>
              <w:top w:val="single" w:sz="4" w:space="0" w:color="E0E0E0"/>
              <w:bottom w:val="single" w:sz="4" w:space="0" w:color="D9D9D9"/>
            </w:tcBorders>
            <w:shd w:val="clear" w:color="auto" w:fill="F4F1E6"/>
            <w:tcMar>
              <w:top w:w="80" w:type="dxa"/>
              <w:bottom w:w="80" w:type="dxa"/>
            </w:tcMar>
            <w:vAlign w:val="center"/>
          </w:tcPr>
          <w:p w:rsidR="00A303F7" w:rsidRPr="00A303F7" w:rsidRDefault="00A303F7" w:rsidP="00A303F7">
            <w:pPr>
              <w:spacing w:line="276" w:lineRule="auto"/>
              <w:rPr>
                <w:rFonts w:ascii="Times New Roman" w:hAnsi="Times New Roman" w:cs="Times New Roman"/>
                <w:color w:val="111111"/>
                <w:sz w:val="19"/>
              </w:rPr>
            </w:pPr>
            <w:r w:rsidRPr="00A303F7">
              <w:rPr>
                <w:rFonts w:ascii="Times New Roman" w:hAnsi="Times New Roman" w:cs="Times New Roman"/>
                <w:color w:val="111111"/>
                <w:sz w:val="19"/>
              </w:rPr>
              <w:t>Excluidos conscientemente para reducir fricción inicial de costos y complejidad logística.</w:t>
            </w:r>
          </w:p>
        </w:tc>
      </w:tr>
    </w:tbl>
    <w:p w:rsidR="00A303F7" w:rsidRDefault="00A303F7" w:rsidP="00A303F7">
      <w:pPr>
        <w:spacing w:after="120" w:line="276" w:lineRule="auto"/>
        <w:ind w:left="360"/>
      </w:pPr>
    </w:p>
    <w:p w:rsidR="00A303F7" w:rsidRDefault="00A303F7" w:rsidP="00A303F7">
      <w:pPr>
        <w:spacing w:line="276" w:lineRule="auto"/>
        <w:ind w:left="360"/>
        <w:rPr>
          <w:rFonts w:ascii="Times New Roman" w:hAnsi="Times New Roman" w:cs="Times New Roman"/>
          <w:b/>
          <w:color w:val="1E3A2B"/>
          <w:sz w:val="28"/>
        </w:rPr>
      </w:pPr>
      <w:r w:rsidRPr="00A303F7">
        <w:rPr>
          <w:rFonts w:ascii="Times New Roman" w:hAnsi="Times New Roman" w:cs="Times New Roman"/>
          <w:b/>
          <w:color w:val="1E3A2B"/>
          <w:sz w:val="28"/>
        </w:rPr>
        <w:t>9. OTROS REQUERIMIENTOS Y PLAN DE ADOPCIÓN</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9.1 Documentación y Manuales</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El software se entrega acompañado de una Guía de Usuario para Vendedores (material infográfico sintetizado), Manual de Usuario Comprador y Guía Técnica de Administración y Despliegue en la Nube.</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9.2 Estrategia de Onboarding para Comerciantes de Mercados</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Dado que gran parte de los comerciantes de perecibles en el Mercado Grau y Ciudad Nueva operan de forma tradicional, se establece un programa de acompañamiento presencial durante las primeras 3 semanas de puesta en marcha, asistiendo en la toma de fotografías de productos y configuración inicial de precios con descuento.</w:t>
      </w:r>
    </w:p>
    <w:p w:rsidR="00A303F7" w:rsidRDefault="00A303F7" w:rsidP="00A303F7">
      <w:pPr>
        <w:spacing w:after="100" w:line="276" w:lineRule="auto"/>
        <w:ind w:left="360"/>
        <w:rPr>
          <w:rFonts w:ascii="Times New Roman" w:hAnsi="Times New Roman" w:cs="Times New Roman"/>
          <w:b/>
          <w:color w:val="1E3A2B"/>
          <w:sz w:val="25"/>
        </w:rPr>
      </w:pPr>
      <w:r w:rsidRPr="00A303F7">
        <w:rPr>
          <w:rFonts w:ascii="Times New Roman" w:hAnsi="Times New Roman" w:cs="Times New Roman"/>
          <w:b/>
          <w:color w:val="1E3A2B"/>
          <w:sz w:val="25"/>
        </w:rPr>
        <w:t>9.3 Soporte y Acompañamiento en el Despliegue Piloto</w:t>
      </w:r>
    </w:p>
    <w:p w:rsidR="00A303F7" w:rsidRDefault="00A303F7" w:rsidP="00A303F7">
      <w:pPr>
        <w:spacing w:after="120" w:line="276" w:lineRule="auto"/>
        <w:ind w:left="360"/>
        <w:jc w:val="both"/>
        <w:rPr>
          <w:rFonts w:ascii="Times New Roman" w:hAnsi="Times New Roman" w:cs="Times New Roman"/>
          <w:color w:val="111111"/>
        </w:rPr>
      </w:pPr>
      <w:r w:rsidRPr="00A303F7">
        <w:rPr>
          <w:rFonts w:ascii="Times New Roman" w:hAnsi="Times New Roman" w:cs="Times New Roman"/>
          <w:color w:val="111111"/>
        </w:rPr>
        <w:t>Se habilitará un canal de soporte técnico continuo vía WhatsApp Business y un buzón administrativo de incidencias para atender consultas de uso en un lapso no mayor a 2 horas durante la franja operativa de los mercados.</w:t>
      </w:r>
    </w:p>
    <w:p w:rsidR="00A303F7" w:rsidRDefault="00A303F7" w:rsidP="00A303F7">
      <w:pPr>
        <w:spacing w:line="276" w:lineRule="auto"/>
        <w:ind w:left="360"/>
        <w:rPr>
          <w:rFonts w:ascii="Times New Roman" w:hAnsi="Times New Roman" w:cs="Times New Roman"/>
          <w:b/>
          <w:color w:val="1E3A2B"/>
          <w:sz w:val="28"/>
        </w:rPr>
      </w:pPr>
      <w:r w:rsidRPr="00A303F7">
        <w:rPr>
          <w:rFonts w:ascii="Times New Roman" w:hAnsi="Times New Roman" w:cs="Times New Roman"/>
          <w:b/>
          <w:color w:val="1E3A2B"/>
          <w:sz w:val="28"/>
        </w:rPr>
        <w:t>10. CONCLUSIONES Y RECOMENDACIONES</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La Visión del producto ÓrbiKa define con absoluta nitidez una propuesta de valor de alto impacto social, ambiental y económico para la provincia de Tacna, abordando la merma comercial de alimentos con un enfoque de economía circular tecnológicamente factible y sostenible.</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El alcance delimitado equilibra rigurosamente la complejidad ingenieril de un equipo de dos desarrolladores con las demandas operativas de comerciantes informales y compradores conscientes de la región.</w:t>
      </w:r>
    </w:p>
    <w:p w:rsidR="00A303F7" w:rsidRDefault="00A303F7" w:rsidP="00A303F7">
      <w:pPr>
        <w:spacing w:after="60" w:line="270" w:lineRule="auto"/>
        <w:ind w:left="360"/>
        <w:jc w:val="both"/>
        <w:rPr>
          <w:rFonts w:ascii="Times New Roman" w:hAnsi="Times New Roman" w:cs="Times New Roman"/>
          <w:color w:val="111111"/>
          <w:sz w:val="21"/>
        </w:rPr>
      </w:pPr>
      <w:r w:rsidRPr="00A303F7">
        <w:rPr>
          <w:rFonts w:ascii="Times New Roman" w:hAnsi="Times New Roman" w:cs="Times New Roman"/>
          <w:color w:val="111111"/>
          <w:sz w:val="21"/>
        </w:rPr>
        <w:t>• Se recomienda proceder con la validación de las fases de construcción y pruebas apoyándose en la trazabilidad formal de los 21 casos de uso especificados en el SRS y la arquitectura de componentes del SAD.</w:t>
      </w:r>
    </w:p>
    <w:p w:rsidR="00A303F7" w:rsidRDefault="00A303F7" w:rsidP="00A303F7">
      <w:pPr>
        <w:spacing w:after="60" w:line="270" w:lineRule="auto"/>
        <w:ind w:left="360"/>
        <w:jc w:val="both"/>
      </w:pPr>
    </w:p>
    <w:sectPr w:rsidR="00A303F7" w:rsidSect="00A303F7">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03F7" w:rsidRDefault="00A303F7" w:rsidP="00A303F7">
      <w:pPr>
        <w:spacing w:after="0" w:line="240" w:lineRule="auto"/>
      </w:pPr>
      <w:r>
        <w:separator/>
      </w:r>
    </w:p>
  </w:endnote>
  <w:endnote w:type="continuationSeparator" w:id="0">
    <w:p w:rsidR="00A303F7" w:rsidRDefault="00A303F7" w:rsidP="00A30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03F7" w:rsidRDefault="00A303F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03F7" w:rsidRPr="00A303F7" w:rsidRDefault="00A303F7" w:rsidP="00A303F7">
    <w:pPr>
      <w:pStyle w:val="Piedepgina"/>
      <w:jc w:val="right"/>
      <w:rPr>
        <w:rFonts w:ascii="Times New Roman" w:hAnsi="Times New Roman" w:cs="Times New Roman"/>
        <w:color w:val="555555"/>
        <w:sz w:val="18"/>
      </w:rPr>
    </w:pPr>
    <w:r>
      <w:rPr>
        <w:rFonts w:ascii="Times New Roman" w:hAnsi="Times New Roman" w:cs="Times New Roman"/>
        <w:color w:val="555555"/>
        <w:sz w:val="18"/>
      </w:rPr>
      <w:t xml:space="preserve">Página </w:t>
    </w:r>
    <w:r>
      <w:rPr>
        <w:rFonts w:ascii="Times New Roman" w:hAnsi="Times New Roman" w:cs="Times New Roman"/>
        <w:color w:val="555555"/>
        <w:sz w:val="18"/>
      </w:rPr>
      <w:fldChar w:fldCharType="begin"/>
    </w:r>
    <w:r>
      <w:rPr>
        <w:rFonts w:ascii="Times New Roman" w:hAnsi="Times New Roman" w:cs="Times New Roman"/>
        <w:color w:val="555555"/>
        <w:sz w:val="18"/>
      </w:rPr>
      <w:instrText xml:space="preserve"> PAGE  \* MERGEFORMAT </w:instrText>
    </w:r>
    <w:r>
      <w:rPr>
        <w:rFonts w:ascii="Times New Roman" w:hAnsi="Times New Roman" w:cs="Times New Roman"/>
        <w:color w:val="555555"/>
        <w:sz w:val="18"/>
      </w:rPr>
      <w:fldChar w:fldCharType="separate"/>
    </w:r>
    <w:r>
      <w:rPr>
        <w:rFonts w:ascii="Times New Roman" w:hAnsi="Times New Roman" w:cs="Times New Roman"/>
        <w:noProof/>
        <w:color w:val="555555"/>
        <w:sz w:val="18"/>
      </w:rPr>
      <w:t>1</w:t>
    </w:r>
    <w:r>
      <w:rPr>
        <w:rFonts w:ascii="Times New Roman" w:hAnsi="Times New Roman" w:cs="Times New Roman"/>
        <w:color w:val="55555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03F7" w:rsidRDefault="00A303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03F7" w:rsidRDefault="00A303F7" w:rsidP="00A303F7">
      <w:pPr>
        <w:spacing w:after="0" w:line="240" w:lineRule="auto"/>
      </w:pPr>
      <w:r>
        <w:separator/>
      </w:r>
    </w:p>
  </w:footnote>
  <w:footnote w:type="continuationSeparator" w:id="0">
    <w:p w:rsidR="00A303F7" w:rsidRDefault="00A303F7" w:rsidP="00A30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03F7" w:rsidRDefault="00A303F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03F7" w:rsidRPr="00A303F7" w:rsidRDefault="00A303F7">
    <w:pPr>
      <w:pStyle w:val="Encabezado"/>
      <w:rPr>
        <w:rFonts w:ascii="Times New Roman" w:hAnsi="Times New Roman" w:cs="Times New Roman"/>
        <w:color w:val="555555"/>
        <w:sz w:val="17"/>
      </w:rPr>
    </w:pPr>
    <w:r w:rsidRPr="00A303F7">
      <w:rPr>
        <w:rFonts w:ascii="Times New Roman" w:hAnsi="Times New Roman" w:cs="Times New Roman"/>
        <w:color w:val="555555"/>
        <w:sz w:val="17"/>
      </w:rPr>
      <w:t>ÓrbiKa — FD02 Documento de Visión | Construcción de Software I — UPT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03F7" w:rsidRDefault="00A303F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3F7"/>
    <w:rsid w:val="008D3BEE"/>
    <w:rsid w:val="00A303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204C4B-48D9-439D-B4C4-2322481A8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303F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03F7"/>
  </w:style>
  <w:style w:type="paragraph" w:styleId="Piedepgina">
    <w:name w:val="footer"/>
    <w:basedOn w:val="Normal"/>
    <w:link w:val="PiedepginaCar"/>
    <w:uiPriority w:val="99"/>
    <w:unhideWhenUsed/>
    <w:rsid w:val="00A303F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0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4089</Words>
  <Characters>22491</Characters>
  <Application>Microsoft Office Word</Application>
  <DocSecurity>0</DocSecurity>
  <Lines>187</Lines>
  <Paragraphs>53</Paragraphs>
  <ScaleCrop>false</ScaleCrop>
  <Company/>
  <LinksUpToDate>false</LinksUpToDate>
  <CharactersWithSpaces>26527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 Loyola Vilca</dc:creator>
  <cp:keywords/>
  <dc:description/>
  <cp:lastModifiedBy>Renzo Loyola Vilca</cp:lastModifiedBy>
  <cp:revision>1</cp:revision>
  <dcterms:created xsi:type="dcterms:W3CDTF">2026-10-04T02:39:00Z</dcterms:created>
  <dcterms:modified xsi:type="dcterms:W3CDTF">2026-10-04T02:39:00Z</dcterms:modified>
</cp:coreProperties>
</file>