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20"/>
        <w:jc w:val="center"/>
      </w:pPr>
      <w:r>
        <w:rPr>
          <w:rFonts w:ascii="Aptos" w:hAnsi="Aptos"/>
          <w:b/>
          <w:color w:val="17212B"/>
          <w:sz w:val="24"/>
        </w:rPr>
        <w:t>UNIVERSIDAD PRIVADA DE TACNA</w:t>
      </w:r>
    </w:p>
    <w:p>
      <w:pPr>
        <w:spacing w:after="40"/>
        <w:jc w:val="center"/>
      </w:pPr>
      <w:r>
        <w:rPr>
          <w:rFonts w:ascii="Aptos" w:hAnsi="Aptos"/>
          <w:b/>
          <w:color w:val="17212B"/>
          <w:sz w:val="21"/>
        </w:rPr>
        <w:t>Facultad de Ingeniería</w:t>
      </w:r>
    </w:p>
    <w:p>
      <w:pPr>
        <w:spacing w:after="1280"/>
        <w:jc w:val="center"/>
      </w:pPr>
      <w:r>
        <w:rPr>
          <w:rFonts w:ascii="Aptos" w:hAnsi="Aptos"/>
          <w:color w:val="17212B"/>
          <w:sz w:val="21"/>
        </w:rPr>
        <w:t>Escuela Profesional de Ingeniería de Sistemas</w:t>
      </w:r>
    </w:p>
    <w:p>
      <w:pPr>
        <w:pStyle w:val="Title"/>
        <w:spacing w:after="200"/>
        <w:jc w:val="center"/>
      </w:pPr>
      <w:r>
        <w:rPr>
          <w:rFonts w:ascii="Aptos Display" w:hAnsi="Aptos Display"/>
          <w:b/>
          <w:color w:val="000000"/>
          <w:sz w:val="50"/>
        </w:rPr>
        <w:t>Propuesta de Proyecto órbiKa</w:t>
      </w:r>
    </w:p>
    <w:p>
      <w:pPr>
        <w:spacing w:after="200"/>
        <w:ind w:left="720" w:right="720"/>
        <w:jc w:val="center"/>
      </w:pPr>
      <w:r>
        <w:rPr>
          <w:rFonts w:ascii="Aptos" w:hAnsi="Aptos"/>
          <w:b/>
          <w:color w:val="000000"/>
          <w:sz w:val="28"/>
        </w:rPr>
        <w:t>Plataforma web para la comercialización y revalorización de productos perecibles en la provincia de Tacna</w:t>
      </w:r>
    </w:p>
    <w:p>
      <w:pPr>
        <w:spacing w:after="1120"/>
        <w:jc w:val="center"/>
      </w:pPr>
      <w:r>
        <w:rPr>
          <w:rFonts w:ascii="Aptos" w:hAnsi="Aptos"/>
          <w:color w:val="536170"/>
          <w:sz w:val="21"/>
        </w:rPr>
        <w:t>Consumo sostenible, ahorro familiar y reducción de merma comercial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31"/>
        <w:gridCol w:w="4831"/>
      </w:tblGrid>
      <w:tr>
        <w:tc>
          <w:tcPr>
            <w:tcW w:type="dxa" w:w="23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EF3F6"/>
          </w:tcPr>
          <w:p>
            <w:pPr>
              <w:widowControl/>
              <w:spacing w:after="0"/>
            </w:pPr>
            <w:r>
              <w:rPr>
                <w:rFonts w:ascii="Aptos" w:hAnsi="Aptos"/>
                <w:b/>
                <w:color w:val="1F4263"/>
                <w:sz w:val="17"/>
              </w:rPr>
              <w:t>Equipo proponente</w:t>
            </w:r>
          </w:p>
        </w:tc>
        <w:tc>
          <w:tcPr>
            <w:tcW w:type="dxa" w:w="71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widowControl/>
              <w:spacing w:after="0"/>
            </w:pPr>
            <w:r>
              <w:rPr>
                <w:rFonts w:ascii="Aptos" w:hAnsi="Aptos"/>
                <w:color w:val="17212B"/>
                <w:sz w:val="17"/>
              </w:rPr>
              <w:t>Grupo G01 · Renzo Fernando Loyola Vilca · Brant Antony Chata Choque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EF3F6"/>
          </w:tcPr>
          <w:p>
            <w:pPr>
              <w:widowControl/>
              <w:spacing w:after="0"/>
            </w:pPr>
            <w:r>
              <w:rPr>
                <w:rFonts w:ascii="Aptos" w:hAnsi="Aptos"/>
                <w:b/>
                <w:color w:val="1F4263"/>
                <w:sz w:val="17"/>
              </w:rPr>
              <w:t>Curso</w:t>
            </w:r>
          </w:p>
        </w:tc>
        <w:tc>
          <w:tcPr>
            <w:tcW w:type="dxa" w:w="71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widowControl/>
              <w:spacing w:after="0"/>
            </w:pPr>
            <w:r>
              <w:rPr>
                <w:rFonts w:ascii="Aptos" w:hAnsi="Aptos"/>
                <w:color w:val="17212B"/>
                <w:sz w:val="17"/>
              </w:rPr>
              <w:t>Construcción de Software I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EF3F6"/>
          </w:tcPr>
          <w:p>
            <w:pPr>
              <w:widowControl/>
              <w:spacing w:after="0"/>
            </w:pPr>
            <w:r>
              <w:rPr>
                <w:rFonts w:ascii="Aptos" w:hAnsi="Aptos"/>
                <w:b/>
                <w:color w:val="1F4263"/>
                <w:sz w:val="17"/>
              </w:rPr>
              <w:t>Docente evaluador</w:t>
            </w:r>
          </w:p>
        </w:tc>
        <w:tc>
          <w:tcPr>
            <w:tcW w:type="dxa" w:w="71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widowControl/>
              <w:spacing w:after="0"/>
            </w:pPr>
            <w:r>
              <w:rPr>
                <w:rFonts w:ascii="Aptos" w:hAnsi="Aptos"/>
                <w:color w:val="17212B"/>
                <w:sz w:val="17"/>
              </w:rPr>
              <w:t>Mag. Ricardo Eduardo Valcárcel Alvarado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EF3F6"/>
          </w:tcPr>
          <w:p>
            <w:pPr>
              <w:widowControl/>
              <w:spacing w:after="0"/>
            </w:pPr>
            <w:r>
              <w:rPr>
                <w:rFonts w:ascii="Aptos" w:hAnsi="Aptos"/>
                <w:b/>
                <w:color w:val="1F4263"/>
                <w:sz w:val="17"/>
              </w:rPr>
              <w:t>Lugar y fecha</w:t>
            </w:r>
          </w:p>
        </w:tc>
        <w:tc>
          <w:tcPr>
            <w:tcW w:type="dxa" w:w="71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widowControl/>
              <w:spacing w:after="0"/>
            </w:pPr>
            <w:r>
              <w:rPr>
                <w:rFonts w:ascii="Aptos" w:hAnsi="Aptos"/>
                <w:color w:val="17212B"/>
                <w:sz w:val="17"/>
              </w:rPr>
              <w:t>Tacna, Perú · Octubre de 2026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EF3F6"/>
          </w:tcPr>
          <w:p>
            <w:pPr>
              <w:widowControl/>
              <w:spacing w:after="0"/>
            </w:pPr>
            <w:r>
              <w:rPr>
                <w:rFonts w:ascii="Aptos" w:hAnsi="Aptos"/>
                <w:b/>
                <w:color w:val="1F4263"/>
                <w:sz w:val="17"/>
              </w:rPr>
              <w:t>Versión de propuesta</w:t>
            </w:r>
          </w:p>
        </w:tc>
        <w:tc>
          <w:tcPr>
            <w:tcW w:type="dxa" w:w="71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widowControl/>
              <w:spacing w:after="0"/>
            </w:pPr>
            <w:r>
              <w:rPr>
                <w:rFonts w:ascii="Aptos" w:hAnsi="Aptos"/>
                <w:color w:val="17212B"/>
                <w:sz w:val="17"/>
              </w:rP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t>1 Resumen ejecutivo</w:t>
      </w:r>
    </w:p>
    <w:p>
      <w:r>
        <w:t>Se propone consolidar, validar y desplegar en piloto órbiKa, una plataforma web responsive que conecta a comerciantes de productos perecibles con compradores que buscan ahorrar. El sistema permitirá publicar excedentes con descuentos sugeridos según la proximidad del vencimiento, consultar ofertas por categoría y distrito, reservar inventario y coordinar la entrega o el recojo directamente con el vendedor.</w:t>
      </w:r>
    </w:p>
    <w:p>
      <w:r>
        <w:t>La iniciativa responde a dos necesidades locales: reducir la merma comercial de alimentos aptos para consumo y facilitar el acceso de las familias a productos con precios rebajados. El piloto priorizará los mercados y zonas comerciales identificados en la visión del producto, con acompañamiento presencial a vendedores durante las primeras tres semanas de adopción.</w:t>
      </w:r>
    </w:p>
    <w:p>
      <w:r>
        <w:t>La propuesta toma como punto de partida la base de producto mencionada en la visión y recomienda cerrar primero el alcance transaccional esencial, asegurar moderación y protección de datos, medir el desempeño y luego operar un piloto controlado. La primera versión será una aplicación web; la pasarela de pagos, el delivery propio y las aplicaciones nativas quedan fuera del MVP.</w:t>
      </w:r>
    </w:p>
    <w:p>
      <w:pPr>
        <w:pStyle w:val="Heading2"/>
      </w:pPr>
      <w:r>
        <w:t>Ficha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31"/>
        <w:gridCol w:w="4831"/>
      </w:tblGrid>
      <w:tr>
        <w:trPr>
          <w:tblHeader w:val="true"/>
        </w:trPr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F426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41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F426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Definición propuesta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Producto</w:t>
            </w:r>
          </w:p>
        </w:tc>
        <w:tc>
          <w:tcPr>
            <w:tcW w:type="dxa" w:w="741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órbiKa, marketplace web para ofertas de alimentos perecibles próximos a vencer.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Área inicial</w:t>
            </w:r>
          </w:p>
        </w:tc>
        <w:tc>
          <w:tcPr>
            <w:tcW w:type="dxa" w:w="741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Provincia de Tacna, con foco en Tacna, Gregorio Albarracín, Alto de la Alianza y Ciudad Nueva.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Usuarios</w:t>
            </w:r>
          </w:p>
        </w:tc>
        <w:tc>
          <w:tcPr>
            <w:tcW w:type="dxa" w:w="741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Comerciantes vendedores, compradores y administradores del sistema.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Enfoque</w:t>
            </w:r>
          </w:p>
        </w:tc>
        <w:tc>
          <w:tcPr>
            <w:tcW w:type="dxa" w:w="741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Consolidación del MVP, validación de calidad y despliegue piloto con acompañamiento.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Horizonte referencial</w:t>
            </w:r>
          </w:p>
        </w:tc>
        <w:tc>
          <w:tcPr>
            <w:tcW w:type="dxa" w:w="741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11 semanas, sujeto a revisar el avance existente, disponibilidad del equipo y comercios participantes.</w:t>
            </w:r>
          </w:p>
        </w:tc>
      </w:tr>
    </w:tbl>
    <w:p>
      <w:pPr>
        <w:spacing w:after="20" w:before="20" w:line="120" w:lineRule="auto"/>
      </w:pPr>
    </w:p>
    <w:p>
      <w:pPr>
        <w:pStyle w:val="Heading1"/>
      </w:pPr>
      <w:r>
        <w:t>2 Oportunidad y justificación</w:t>
      </w:r>
    </w:p>
    <w:p>
      <w:r>
        <w:t>La visión del producto identifica pérdidas de entre 8% y 15% de mercadería perecible en centros de abasto y describe que los remates suelen depender de la venta presencial o de publicaciones dispersas en redes sociales. Estas prácticas limitan la visibilidad de la oferta, hacen difícil mantener actualizado el stock y ofrecen poca trazabilidad para el comprador.</w:t>
      </w:r>
    </w:p>
    <w:p>
      <w:r>
        <w:t>órbiKa centraliza las ofertas y permite que un comercio publique desde el puesto, mientras los compradores encuentran productos disponibles por distrito, precio y proximidad de vencimiento. La propuesta combina una operación sencilla con indicadores de alimentos revalorizados, ahorro generado y reducción estimada de residuos.</w:t>
      </w:r>
    </w:p>
    <w:p>
      <w:pPr>
        <w:pStyle w:val="Heading2"/>
      </w:pPr>
      <w:r>
        <w:t>Beneficio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31"/>
        <w:gridCol w:w="4831"/>
      </w:tblGrid>
      <w:tr>
        <w:trPr>
          <w:tblHeader w:val="true"/>
        </w:trPr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F426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Grupo</w:t>
            </w:r>
          </w:p>
        </w:tc>
        <w:tc>
          <w:tcPr>
            <w:tcW w:type="dxa" w:w="74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F426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Valor que entrega órbiKa</w:t>
            </w:r>
          </w:p>
        </w:tc>
      </w:tr>
      <w:tr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Comerciantes</w:t>
            </w:r>
          </w:p>
        </w:tc>
        <w:tc>
          <w:tcPr>
            <w:tcW w:type="dxa" w:w="74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Más oportunidades de recuperar parte del valor de productos con baja rotación y una forma estructurada de atender reservas.</w:t>
            </w:r>
          </w:p>
        </w:tc>
      </w:tr>
      <w:tr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Compradores</w:t>
            </w:r>
          </w:p>
        </w:tc>
        <w:tc>
          <w:tcPr>
            <w:tcW w:type="dxa" w:w="74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Acceso a ofertas alimentarias locales, ficha con información del producto y coordinación clara para recojo o entrega.</w:t>
            </w:r>
          </w:p>
        </w:tc>
      </w:tr>
      <w:tr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Comunidad</w:t>
            </w:r>
          </w:p>
        </w:tc>
        <w:tc>
          <w:tcPr>
            <w:tcW w:type="dxa" w:w="74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Registro agregado de alimentos rescatados y ahorro; mayor visibilidad de prácticas de consumo responsable.</w:t>
            </w:r>
          </w:p>
        </w:tc>
      </w:tr>
      <w:tr>
        <w:tc>
          <w:tcPr>
            <w:tcW w:type="dxa" w:w="216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Equipo administrador</w:t>
            </w:r>
          </w:p>
        </w:tc>
        <w:tc>
          <w:tcPr>
            <w:tcW w:type="dxa" w:w="748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Herramientas para revisar publicaciones, atender reportes y observar el funcionamiento del piloto.</w:t>
            </w:r>
          </w:p>
        </w:tc>
      </w:tr>
    </w:tbl>
    <w:p>
      <w:pPr>
        <w:spacing w:after="20" w:before="20" w:line="120" w:lineRule="auto"/>
      </w:pPr>
    </w:p>
    <w:p>
      <w:pPr>
        <w:pStyle w:val="Heading1"/>
      </w:pPr>
      <w:r>
        <w:t>3 Objetivos y alcance</w:t>
      </w:r>
    </w:p>
    <w:p>
      <w:pPr>
        <w:pStyle w:val="Heading2"/>
      </w:pPr>
      <w:r>
        <w:t>Objetivo general</w:t>
      </w:r>
    </w:p>
    <w:p>
      <w:r>
        <w:t>Consolidar y validar una plataforma web responsive para facilitar la comercialización de productos perecibles con descuento en Tacna, reducir la merma comercial y medir los resultados del piloto con comerciantes y compradores locales.</w:t>
      </w:r>
    </w:p>
    <w:p>
      <w:pPr>
        <w:pStyle w:val="Heading2"/>
      </w:pPr>
      <w:r>
        <w:t>Objetivos específicos</w:t>
      </w:r>
    </w:p>
    <w:p>
      <w:pPr>
        <w:pStyle w:val="ListBullet"/>
        <w:spacing w:after="60" w:line="259" w:lineRule="auto"/>
        <w:ind w:left="360" w:hanging="202"/>
      </w:pPr>
      <w:r>
        <w:t>Facilitar el registro diferenciado de compradores y vendedores y el acceso seguro a sus funciones.</w:t>
      </w:r>
    </w:p>
    <w:p>
      <w:pPr>
        <w:pStyle w:val="ListBullet"/>
        <w:spacing w:after="60" w:line="259" w:lineRule="auto"/>
        <w:ind w:left="360" w:hanging="202"/>
      </w:pPr>
      <w:r>
        <w:t>Permitir a los vendedores publicar productos con precio, stock, categoría, fotografía y fecha de vencimiento, con una sugerencia de descuento configurable.</w:t>
      </w:r>
    </w:p>
    <w:p>
      <w:pPr>
        <w:pStyle w:val="ListBullet"/>
        <w:spacing w:after="60" w:line="259" w:lineRule="auto"/>
        <w:ind w:left="360" w:hanging="202"/>
      </w:pPr>
      <w:r>
        <w:t>Ayudar a los compradores a descubrir ofertas por categoría, distrito y precio, y reservar unidades sin sobreventa.</w:t>
      </w:r>
    </w:p>
    <w:p>
      <w:pPr>
        <w:pStyle w:val="ListBullet"/>
        <w:spacing w:after="60" w:line="259" w:lineRule="auto"/>
        <w:ind w:left="360" w:hanging="202"/>
      </w:pPr>
      <w:r>
        <w:t>Proporcionar seguimiento de pedidos, cancelaciones, calificaciones y reportes para fortalecer la confianza entre usuarios.</w:t>
      </w:r>
    </w:p>
    <w:p>
      <w:pPr>
        <w:pStyle w:val="ListBullet"/>
        <w:spacing w:after="60" w:line="259" w:lineRule="auto"/>
        <w:ind w:left="360" w:hanging="202"/>
      </w:pPr>
      <w:r>
        <w:t>Registrar indicadores de ventas, ahorro y alimentos revalorizados para orientar las decisiones posteriores al piloto.</w:t>
      </w:r>
    </w:p>
    <w:p>
      <w:pPr>
        <w:pStyle w:val="Heading2"/>
      </w:pPr>
      <w:r>
        <w:t>Alcance de la primera versión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31"/>
        <w:gridCol w:w="4831"/>
      </w:tblGrid>
      <w:tr>
        <w:trPr>
          <w:tblHeader w:val="true"/>
        </w:trPr>
        <w:tc>
          <w:tcPr>
            <w:tcW w:type="dxa" w:w="48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F426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Incluido en el MVP</w:t>
            </w:r>
          </w:p>
        </w:tc>
        <w:tc>
          <w:tcPr>
            <w:tcW w:type="dxa" w:w="48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F426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Diferido para una fase posterior</w:t>
            </w:r>
          </w:p>
        </w:tc>
      </w:tr>
      <w:tr>
        <w:tc>
          <w:tcPr>
            <w:tcW w:type="dxa" w:w="48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Registro y autenticación por rol; perfil básico de comercio; publicación y edición de productos.</w:t>
            </w:r>
          </w:p>
        </w:tc>
        <w:tc>
          <w:tcPr>
            <w:tcW w:type="dxa" w:w="48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Aplicación móvil nativa para tiendas de aplicaciones.</w:t>
            </w:r>
          </w:p>
        </w:tc>
      </w:tr>
      <w:tr>
        <w:tc>
          <w:tcPr>
            <w:tcW w:type="dxa" w:w="48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Catálogo, filtros por categoría y distrito, detalle de producto y disponibilidad.</w:t>
            </w:r>
          </w:p>
        </w:tc>
        <w:tc>
          <w:tcPr>
            <w:tcW w:type="dxa" w:w="48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Pasarela integrada con retención bancaria.</w:t>
            </w:r>
          </w:p>
        </w:tc>
      </w:tr>
      <w:tr>
        <w:tc>
          <w:tcPr>
            <w:tcW w:type="dxa" w:w="48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Reserva de stock, estados del pedido y cancelación con actualización de inventario.</w:t>
            </w:r>
          </w:p>
        </w:tc>
        <w:tc>
          <w:tcPr>
            <w:tcW w:type="dxa" w:w="48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Flota propia de reparto o logística gestionada por la plataforma.</w:t>
            </w:r>
          </w:p>
        </w:tc>
      </w:tr>
      <w:tr>
        <w:tc>
          <w:tcPr>
            <w:tcW w:type="dxa" w:w="48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Calificaciones, moderación básica, canal de incidencias y panel inicial de impacto.</w:t>
            </w:r>
          </w:p>
        </w:tc>
        <w:tc>
          <w:tcPr>
            <w:tcW w:type="dxa" w:w="48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Funciones avanzadas de fidelización, mensajería interna y analítica premium, sujetas a validación del piloto.</w:t>
            </w:r>
          </w:p>
        </w:tc>
      </w:tr>
    </w:tbl>
    <w:p>
      <w:pPr>
        <w:spacing w:after="20" w:before="20" w:line="120" w:lineRule="auto"/>
      </w:pPr>
    </w:p>
    <w:p>
      <w:pPr>
        <w:spacing w:after="100"/>
      </w:pPr>
      <w:r>
        <w:t>El MVP dependerá de que el vendedor informe correctamente la condición, cantidad y fecha de vencimiento. Las condiciones de uso delimitarán la responsabilidad del vendedor sobre la inocuidad y estado del alimento; la plataforma facilitará la publicación, la trazabilidad y la coordinación entre las partes.</w:t>
      </w:r>
    </w:p>
    <w:p>
      <w:pPr>
        <w:pStyle w:val="Heading1"/>
      </w:pPr>
      <w:r>
        <w:t>4 Solución propuesta</w:t>
      </w:r>
    </w:p>
    <w:p>
      <w:r>
        <w:t>órbiKa operará como una aplicación web accesible desde el navegador de un teléfono o computadora. El flujo del vendedor será breve: registrar el producto, revisar el descuento sugerido y publicar; luego podrá aceptar, completar o cancelar reservas. El comprador explorará el catálogo, consultará la ficha y reservará; la entrega o el recojo se coordinarán sin logística propia de la plataforma.</w:t>
      </w:r>
    </w:p>
    <w:p>
      <w:pPr>
        <w:pStyle w:val="Heading2"/>
      </w:pPr>
      <w:r>
        <w:t>Capacidades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31"/>
        <w:gridCol w:w="4831"/>
      </w:tblGrid>
      <w:tr>
        <w:trPr>
          <w:tblHeader w:val="true"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F426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Capacidad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F426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Resultado operativo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Cuentas y perfiles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Acceso diferenciado para compradores, vendedores y administradores.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Publicación asistida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Formulario ágil con precio, stock, fotografía, categoría y vencimiento; sugerencia de descuento.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Catálogo local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Exploración y filtrado de productos por distrito, categoría y rango de precio.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Pedidos e inventario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Reserva transaccional de stock y gestión de estados para evitar confirmar unidades no disponibles.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Confianza y control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Calificaciones, reportes ciudadanos y moderación de ofertas o cuentas.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Medición de impacto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Panel de kilogramos revalorizados, ahorro acumulado y estimación de emisiones evitadas.</w:t>
            </w:r>
          </w:p>
        </w:tc>
      </w:tr>
    </w:tbl>
    <w:p>
      <w:pPr>
        <w:spacing w:after="20" w:before="20" w:line="120" w:lineRule="auto"/>
      </w:pPr>
    </w:p>
    <w:p>
      <w:pPr>
        <w:pStyle w:val="Heading2"/>
      </w:pPr>
      <w:r>
        <w:t>Experiencia y operación</w:t>
      </w:r>
    </w:p>
    <w:p>
      <w:r>
        <w:t>La interfaz priorizará pantallas pequeñas, lenguaje cotidiano, botones táctiles amplios y formularios con validación inmediata. Las acciones principales del vendedor deberán requerir pocos pasos y funcionar con conectividad móvil variable. El catálogo podrá optimizarse con compresión de imágenes y caché para reducir tiempos de carga.</w:t>
      </w:r>
    </w:p>
    <w:p>
      <w:pPr>
        <w:pStyle w:val="Heading1"/>
      </w:pPr>
      <w:r>
        <w:t>5 Arquitectura y criterios de calidad</w:t>
      </w:r>
    </w:p>
    <w:p>
      <w:r>
        <w:t>La visión define una arquitectura cliente-servidor desacoplada: una aplicación de una sola página con React 18, Vite y Tailwind CSS; una API con Node.js y Express; y PostgreSQL gestionado en Supabase, con políticas de Row Level Security para limitar el acceso a datos. La solución considera Supabase para PostgreSQL y autenticación, Render para el alojamiento de la aplicación y Cloudinary para la gestión de imágenes, conforme a la visión.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31"/>
        <w:gridCol w:w="4831"/>
      </w:tblGrid>
      <w:tr>
        <w:trPr>
          <w:tblHeader w:val="true"/>
        </w:trP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F426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770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F426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Criterio verificable propuesto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Usabilidad</w:t>
            </w:r>
          </w:p>
        </w:tc>
        <w:tc>
          <w:tcPr>
            <w:tcW w:type="dxa" w:w="770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Un vendedor nuevo publica su primer producto en menos de 15 minutos de aprendizaje; publicar una oferta debe tomar menos de 2 minutos.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Rendimiento</w:t>
            </w:r>
          </w:p>
        </w:tc>
        <w:tc>
          <w:tcPr>
            <w:tcW w:type="dxa" w:w="770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Consultas del catálogo por debajo de 1.5 segundos en carga normal; página inicial por debajo de 2.5 segundos en red 4G.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Seguridad</w:t>
            </w:r>
          </w:p>
        </w:tc>
        <w:tc>
          <w:tcPr>
            <w:tcW w:type="dxa" w:w="770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Contraseñas protegidas, autorización por rol, aislamiento de datos y consentimiento informado para los datos personales.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Disponibilidad</w:t>
            </w:r>
          </w:p>
        </w:tc>
        <w:tc>
          <w:tcPr>
            <w:tcW w:type="dxa" w:w="770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Objetivo superior al 99% durante el horario comercial de referencia, de 06:00 a 20:00.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Confiabilidad</w:t>
            </w:r>
          </w:p>
        </w:tc>
        <w:tc>
          <w:tcPr>
            <w:tcW w:type="dxa" w:w="770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La reserva y cancelación mantienen el stock consistente y registran los cambios de estado del pedido.</w:t>
            </w:r>
          </w:p>
        </w:tc>
      </w:tr>
      <w:tr>
        <w:tc>
          <w:tcPr>
            <w:tcW w:type="dxa" w:w="194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Mantenibilidad</w:t>
            </w:r>
          </w:p>
        </w:tc>
        <w:tc>
          <w:tcPr>
            <w:tcW w:type="dxa" w:w="770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Módulos desacoplados y trazabilidad entre requerimientos, casos de uso y pruebas.</w:t>
            </w:r>
          </w:p>
        </w:tc>
      </w:tr>
    </w:tbl>
    <w:p>
      <w:pPr>
        <w:spacing w:after="20" w:before="20" w:line="120" w:lineRule="auto"/>
      </w:pPr>
    </w:p>
    <w:p>
      <w:pPr>
        <w:spacing w:after="100"/>
      </w:pPr>
      <w:r>
        <w:t>Antes del piloto se revisarán permisos, manejo de sesiones, respaldos, gestión de imágenes, registros de errores y recuperación del servicio. Las condiciones de uso y el tratamiento de reclamos se prepararán para revisión conforme a la regulación aplicable.</w:t>
      </w:r>
    </w:p>
    <w:p>
      <w:pPr>
        <w:pStyle w:val="Heading1"/>
      </w:pPr>
      <w:r>
        <w:t>6 Plan de trabajo y entregables</w:t>
      </w:r>
    </w:p>
    <w:p>
      <w:r>
        <w:t>El siguiente cronograma es una referencia inicial de planificación, no una fecha comprometida. Se confirmará después de revisar la base existente, el backlog, las pruebas ya ejecutadas y la disponibilidad de vendedores para el piloto.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F426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129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F426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612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F426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Trabajo y entregables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1. Diagnóstico y acuerdos</w:t>
            </w:r>
          </w:p>
        </w:tc>
        <w:tc>
          <w:tcPr>
            <w:tcW w:type="dxa" w:w="129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2 semanas</w:t>
            </w:r>
          </w:p>
        </w:tc>
        <w:tc>
          <w:tcPr>
            <w:tcW w:type="dxa" w:w="612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Revisión de la versión existente, alcance priorizado, decisiones de operación, criterios de aceptación y plan de pruebas.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2. Cierre del MVP</w:t>
            </w:r>
          </w:p>
        </w:tc>
        <w:tc>
          <w:tcPr>
            <w:tcW w:type="dxa" w:w="129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4 semanas</w:t>
            </w:r>
          </w:p>
        </w:tc>
        <w:tc>
          <w:tcPr>
            <w:tcW w:type="dxa" w:w="612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Ajustes de flujos principales, reserva e inventario, perfiles, catálogo, administración básica y panel inicial.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3. Validación y estabilización</w:t>
            </w:r>
          </w:p>
        </w:tc>
        <w:tc>
          <w:tcPr>
            <w:tcW w:type="dxa" w:w="129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2 semanas</w:t>
            </w:r>
          </w:p>
        </w:tc>
        <w:tc>
          <w:tcPr>
            <w:tcW w:type="dxa" w:w="612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Pruebas funcionales, de seguridad y rendimiento; corrección de hallazgos; documentación técnica y manuales.</w:t>
            </w:r>
          </w:p>
        </w:tc>
      </w:tr>
      <w:tr>
        <w:tc>
          <w:tcPr>
            <w:tcW w:type="dxa" w:w="223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4. Onboarding y piloto</w:t>
            </w:r>
          </w:p>
        </w:tc>
        <w:tc>
          <w:tcPr>
            <w:tcW w:type="dxa" w:w="129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3 semanas</w:t>
            </w:r>
          </w:p>
        </w:tc>
        <w:tc>
          <w:tcPr>
            <w:tcW w:type="dxa" w:w="612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Capacitación presencial a vendedores, soporte durante operación, seguimiento de incidencias y reporte de resultados.</w:t>
            </w:r>
          </w:p>
        </w:tc>
      </w:tr>
    </w:tbl>
    <w:p>
      <w:pPr>
        <w:spacing w:after="20" w:before="20" w:line="120" w:lineRule="auto"/>
      </w:pPr>
    </w:p>
    <w:p>
      <w:pPr>
        <w:pStyle w:val="Heading2"/>
      </w:pPr>
      <w:r>
        <w:t>Entregables</w:t>
      </w:r>
    </w:p>
    <w:p>
      <w:pPr>
        <w:pStyle w:val="ListBullet"/>
        <w:spacing w:after="60" w:line="259" w:lineRule="auto"/>
        <w:ind w:left="360" w:hanging="202"/>
      </w:pPr>
      <w:r>
        <w:t>Backlog priorizado y criterios de aceptación alineados con los 21 casos de uso indicados en la visión.</w:t>
      </w:r>
    </w:p>
    <w:p>
      <w:pPr>
        <w:pStyle w:val="ListBullet"/>
        <w:spacing w:after="60" w:line="259" w:lineRule="auto"/>
        <w:ind w:left="360" w:hanging="202"/>
      </w:pPr>
      <w:r>
        <w:t>Versión web responsive del MVP desplegada en el entorno acordado, con configuración y guía de recuperación.</w:t>
      </w:r>
    </w:p>
    <w:p>
      <w:pPr>
        <w:pStyle w:val="ListBullet"/>
        <w:spacing w:after="60" w:line="259" w:lineRule="auto"/>
        <w:ind w:left="360" w:hanging="202"/>
      </w:pPr>
      <w:r>
        <w:t>Reporte de ejecución de pruebas con trazabilidad a requerimientos; la visión establece como referencia 63 pruebas ejecutadas.</w:t>
      </w:r>
    </w:p>
    <w:p>
      <w:pPr>
        <w:pStyle w:val="ListBullet"/>
        <w:spacing w:after="60" w:line="259" w:lineRule="auto"/>
        <w:ind w:left="360" w:hanging="202"/>
      </w:pPr>
      <w:r>
        <w:t>Guía breve para vendedores, manual de compradores y guía de administración y despliegue.</w:t>
      </w:r>
    </w:p>
    <w:p>
      <w:pPr>
        <w:pStyle w:val="ListBullet"/>
        <w:spacing w:after="60" w:line="259" w:lineRule="auto"/>
        <w:ind w:left="360" w:hanging="202"/>
      </w:pPr>
      <w:r>
        <w:t>Informe del piloto con incidencias, actividad, transacciones, alimentos revalorizados y recomendaciones de siguiente fase.</w:t>
      </w:r>
    </w:p>
    <w:p>
      <w:pPr>
        <w:pStyle w:val="Heading1"/>
      </w:pPr>
      <w:r>
        <w:t>7 Adopción y organización</w:t>
      </w:r>
    </w:p>
    <w:p>
      <w:r>
        <w:t>La adopción es parte del proyecto. Durante las primeras tres semanas de operación se brindará acompañamiento presencial en los mercados priorizados, con apoyo para crear cuentas, tomar fotografías, registrar productos y definir precios. Se habilitarán WhatsApp Business y un buzón de incidencias como canales de soporte; la referencia de atención indicada en la visión es de hasta dos horas durante la franja operativa.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31"/>
        <w:gridCol w:w="4831"/>
      </w:tblGrid>
      <w:tr>
        <w:trPr>
          <w:tblHeader w:val="true"/>
        </w:trP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F426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F426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Responsabilidad en el proyecto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Equipo G01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Coordinar el producto, cerrar el alcance priorizado, implementar mejoras, preparar pruebas y acompañar el despliegue.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Administrador del piloto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Revisar publicaciones reportadas, gestionar categorías y cuentas, y consolidar incidencias e indicadores.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Comerciantes participantes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Mantener datos y stock actualizados, informar el vencimiento real y atender pedidos confirmados.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Compradores participantes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Usar la reserva, coordinar la recepción y reportar incidencias con información concreta.</w:t>
            </w:r>
          </w:p>
        </w:tc>
      </w:tr>
      <w:tr>
        <w:tc>
          <w:tcPr>
            <w:tcW w:type="dxa" w:w="2376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Docente evaluador</w:t>
            </w:r>
          </w:p>
        </w:tc>
        <w:tc>
          <w:tcPr>
            <w:tcW w:type="dxa" w:w="7272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Revisar consistencia académica, trazabilidad y evidencias de calidad del proyecto.</w:t>
            </w:r>
          </w:p>
        </w:tc>
      </w:tr>
    </w:tbl>
    <w:p>
      <w:pPr>
        <w:spacing w:after="20" w:before="20" w:line="120" w:lineRule="auto"/>
      </w:pPr>
    </w:p>
    <w:p>
      <w:pPr>
        <w:pStyle w:val="Heading1"/>
      </w:pPr>
      <w:r>
        <w:t>8 Riesgos y respuesta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31"/>
        <w:gridCol w:w="4831"/>
      </w:tblGrid>
      <w:tr>
        <w:trPr>
          <w:tblHeader w:val="true"/>
        </w:trP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F426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648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F426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Respuesta propuesta</w:t>
            </w:r>
          </w:p>
        </w:tc>
      </w:tr>
      <w:t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Baja adopción por experiencia digital limitada</w:t>
            </w:r>
          </w:p>
        </w:tc>
        <w:tc>
          <w:tcPr>
            <w:tcW w:type="dxa" w:w="648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Onboarding presencial, guía visual y flujo de publicación corto; medir tiempo y errores de uso.</w:t>
            </w:r>
          </w:p>
        </w:tc>
      </w:tr>
      <w:t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Datos incompletos o vencimientos incorrectos</w:t>
            </w:r>
          </w:p>
        </w:tc>
        <w:tc>
          <w:tcPr>
            <w:tcW w:type="dxa" w:w="648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Campos obligatorios, fotografía y fecha visibles, recordatorio de responsabilidad del vendedor y canal de reporte.</w:t>
            </w:r>
          </w:p>
        </w:tc>
      </w:tr>
      <w:t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Conectividad irregular en mercados</w:t>
            </w:r>
          </w:p>
        </w:tc>
        <w:tc>
          <w:tcPr>
            <w:tcW w:type="dxa" w:w="648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Diseño ligero, imágenes optimizadas, caché del catálogo y estados de carga claros.</w:t>
            </w:r>
          </w:p>
        </w:tc>
      </w:tr>
      <w:t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Poca oferta o demanda al inicio</w:t>
            </w:r>
          </w:p>
        </w:tc>
        <w:tc>
          <w:tcPr>
            <w:tcW w:type="dxa" w:w="648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Captar vendedores y compradores en los mismos sectores y observar la rotación antes de ampliar zonas.</w:t>
            </w:r>
          </w:p>
        </w:tc>
      </w:tr>
      <w:t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Exposición de datos o abuso de cuentas</w:t>
            </w:r>
          </w:p>
        </w:tc>
        <w:tc>
          <w:tcPr>
            <w:tcW w:type="dxa" w:w="648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Permisos por rol, políticas de acceso, controles administrativos, consentimiento y revisión de incidentes.</w:t>
            </w:r>
          </w:p>
        </w:tc>
      </w:tr>
      <w:tr>
        <w:tc>
          <w:tcPr>
            <w:tcW w:type="dxa" w:w="316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Cálculo de impacto difícil de comparar</w:t>
            </w:r>
          </w:p>
        </w:tc>
        <w:tc>
          <w:tcPr>
            <w:tcW w:type="dxa" w:w="648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6"/>
              </w:rPr>
              <w:t>Definir una metodología documentada para peso, ahorro y factores de conversión; presentar emisiones como estimación.</w:t>
            </w:r>
          </w:p>
        </w:tc>
      </w:tr>
    </w:tbl>
    <w:p>
      <w:pPr>
        <w:spacing w:after="20" w:before="20" w:line="120" w:lineRule="auto"/>
      </w:pPr>
    </w:p>
    <w:p>
      <w:pPr>
        <w:pStyle w:val="Heading1"/>
      </w:pPr>
      <w:r>
        <w:t>9 Indicadores y sostenibilidad</w:t>
      </w:r>
    </w:p>
    <w:p>
      <w:r>
        <w:t>El piloto medirá desempeño del producto y resultado operativo. Los indicadores deben contar con una definición común, periodo, responsable y fuente de datos antes de iniciar la medición.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31"/>
        <w:gridCol w:w="4831"/>
      </w:tblGrid>
      <w:tr>
        <w:trPr>
          <w:tblHeader w:val="true"/>
        </w:trPr>
        <w:tc>
          <w:tcPr>
            <w:tcW w:type="dxa" w:w="252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F426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71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F4263"/>
          </w:tcPr>
          <w:p>
            <w:pPr>
              <w:widowControl/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Referencia inicial</w:t>
            </w:r>
          </w:p>
        </w:tc>
      </w:tr>
      <w:tr>
        <w:tc>
          <w:tcPr>
            <w:tcW w:type="dxa" w:w="252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Tiempo para publicar</w:t>
            </w:r>
          </w:p>
        </w:tc>
        <w:tc>
          <w:tcPr>
            <w:tcW w:type="dxa" w:w="71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Menos de 2 minutos como criterio de éxito comercial; aprendizaje inicial menor a 15 minutos.</w:t>
            </w:r>
          </w:p>
        </w:tc>
      </w:tr>
      <w:tr>
        <w:tc>
          <w:tcPr>
            <w:tcW w:type="dxa" w:w="252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Rendimiento</w:t>
            </w:r>
          </w:p>
        </w:tc>
        <w:tc>
          <w:tcPr>
            <w:tcW w:type="dxa" w:w="71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Catálogo menor a 1.5 segundos y carga inicial menor a 2.5 segundos en 4G.</w:t>
            </w:r>
          </w:p>
        </w:tc>
      </w:tr>
      <w:tr>
        <w:tc>
          <w:tcPr>
            <w:tcW w:type="dxa" w:w="252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Disponibilidad y soporte</w:t>
            </w:r>
          </w:p>
        </w:tc>
        <w:tc>
          <w:tcPr>
            <w:tcW w:type="dxa" w:w="71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Más de 99% en el horario definido; atención de incidencias dentro de dos horas durante operación.</w:t>
            </w:r>
          </w:p>
        </w:tc>
      </w:tr>
      <w:tr>
        <w:tc>
          <w:tcPr>
            <w:tcW w:type="dxa" w:w="252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Actividad comercial</w:t>
            </w:r>
          </w:p>
        </w:tc>
        <w:tc>
          <w:tcPr>
            <w:tcW w:type="dxa" w:w="71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7F9FA"/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Publicaciones activas, reservas, pedidos completados, cancelaciones y tasa de conversión.</w:t>
            </w:r>
          </w:p>
        </w:tc>
      </w:tr>
      <w:tr>
        <w:tc>
          <w:tcPr>
            <w:tcW w:type="dxa" w:w="2520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Impacto</w:t>
            </w:r>
          </w:p>
        </w:tc>
        <w:tc>
          <w:tcPr>
            <w:tcW w:type="dxa" w:w="7128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widowControl/>
              <w:spacing w:after="0" w:line="247" w:lineRule="auto"/>
              <w:jc w:val="left"/>
            </w:pPr>
            <w:r>
              <w:rPr>
                <w:rFonts w:ascii="Aptos" w:hAnsi="Aptos"/>
                <w:color w:val="17212B"/>
                <w:sz w:val="17"/>
              </w:rPr>
              <w:t>Kilogramos revalorizados, ahorro acumulado y emisiones equivalentes evitadas, con metodología documentada.</w:t>
            </w:r>
          </w:p>
        </w:tc>
      </w:tr>
    </w:tbl>
    <w:p>
      <w:pPr>
        <w:spacing w:after="20" w:before="20" w:line="120" w:lineRule="auto"/>
      </w:pPr>
    </w:p>
    <w:p>
      <w:pPr>
        <w:pStyle w:val="Heading2"/>
      </w:pPr>
      <w:r>
        <w:t>Modelo de sostenibilidad de la plataforma</w:t>
      </w:r>
    </w:p>
    <w:p>
      <w:r>
        <w:t>La visión plantea una comisión del 5% sobre pedidos completados y un plan premium mensual de S/ 29.90 para vendedores frecuentes. Como la pasarela integrada se difiere, el piloto debe acordar cómo registrar y liquidar las comisiones sin retener pagos dentro de la plataforma. La suscripción premium puede activarse después de validar la frecuencia de uso y el valor de sus beneficios.</w:t>
      </w:r>
    </w:p>
    <w:p>
      <w:r>
        <w:t>La planificación operativa deberá contemplar alojamiento, dominio, almacenamiento de imágenes, soporte y actividades presenciales de onboarding. El monto y la fuente de financiamiento se establecerán junto con el calendario definitivo del piloto.</w:t>
      </w:r>
    </w:p>
    <w:p>
      <w:pPr>
        <w:pStyle w:val="Heading1"/>
      </w:pPr>
      <w:r>
        <w:t>10 Decisiones para iniciar</w:t>
      </w:r>
    </w:p>
    <w:p>
      <w:r>
        <w:t>Para pasar de la propuesta a la ejecución, se recomienda cerrar los siguientes acuerdos en la reunión de inicio:</w:t>
      </w:r>
    </w:p>
    <w:p>
      <w:pPr>
        <w:pStyle w:val="ListBullet"/>
        <w:spacing w:after="60" w:line="259" w:lineRule="auto"/>
        <w:ind w:left="360" w:hanging="202"/>
      </w:pPr>
      <w:r>
        <w:t>Revisar el estado real de la versión existente y confirmar el alcance de la primera entrega.</w:t>
      </w:r>
    </w:p>
    <w:p>
      <w:pPr>
        <w:pStyle w:val="ListBullet"/>
        <w:spacing w:after="60" w:line="259" w:lineRule="auto"/>
        <w:ind w:left="360" w:hanging="202"/>
      </w:pPr>
      <w:r>
        <w:t>Definir el número de comercios participantes, mercados y distritos cubiertos por el piloto.</w:t>
      </w:r>
    </w:p>
    <w:p>
      <w:pPr>
        <w:pStyle w:val="ListBullet"/>
        <w:spacing w:after="60" w:line="259" w:lineRule="auto"/>
        <w:ind w:left="360" w:hanging="202"/>
      </w:pPr>
      <w:r>
        <w:t>Aprobar el límite de descuento: la visión menciona ofertas de hasta 50% y, en otra sección, sugerencias entre 20% y 60%; conviene configurar el algoritmo y su máximo antes del piloto.</w:t>
      </w:r>
    </w:p>
    <w:p>
      <w:pPr>
        <w:pStyle w:val="ListBullet"/>
        <w:spacing w:after="60" w:line="259" w:lineRule="auto"/>
        <w:ind w:left="360" w:hanging="202"/>
      </w:pPr>
      <w:r>
        <w:t>Acordar la coordinación de pagos, la liquidación de la comisión y los criterios para contar un pedido como completado.</w:t>
      </w:r>
    </w:p>
    <w:p>
      <w:pPr>
        <w:pStyle w:val="ListBullet"/>
        <w:spacing w:after="60" w:line="259" w:lineRule="auto"/>
        <w:ind w:left="360" w:hanging="202"/>
      </w:pPr>
      <w:r>
        <w:t>Confirmar responsables de moderación, atención de incidencias y acceso a métricas.</w:t>
      </w:r>
    </w:p>
    <w:p>
      <w:pPr>
        <w:pStyle w:val="ListBullet"/>
        <w:spacing w:after="60" w:line="259" w:lineRule="auto"/>
        <w:ind w:left="360" w:hanging="202"/>
      </w:pPr>
      <w:r>
        <w:t>Validar calendario, costos operativos y criterio de salida del piloto antes de comprometer fechas.</w:t>
      </w:r>
    </w:p>
    <w:p>
      <w:pPr>
        <w:pStyle w:val="Heading2"/>
      </w:pPr>
      <w:r>
        <w:t>Cierre</w:t>
      </w:r>
    </w:p>
    <w:p>
      <w:r>
        <w:t>órbiKa propone una respuesta local y verificable para aprovechar mejor los alimentos perecibles en Tacna. Un MVP acotado, acompañado por vendedores y medido desde el primer día permitirá comprobar la operación con usuarios reales, corregir fricciones y decidir con evidencia qué capacidades conviene ampliar.</w:t>
      </w:r>
    </w:p>
    <w:p>
      <w:pPr>
        <w:pStyle w:val="Heading2"/>
      </w:pPr>
      <w:r>
        <w:t>Base documental</w:t>
      </w:r>
    </w:p>
    <w:p>
      <w:pPr>
        <w:spacing w:after="0"/>
      </w:pPr>
      <w:r>
        <w:t>Documento de Visión G01_ORBIKA_FD02_VISION_CHATA_LOYOLA, versión 3.0, 28 de septiembre de 2026. La visión refiere como documentos complementarios el estudio de factibilidad FD01, la especificación de requerimientos SRS FD03 y el documento de arquitectura SAD FD04.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1037" w:left="1123" w:header="490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color w:val="536170"/>
        <w:sz w:val="16"/>
      </w:rPr>
      <w:t xml:space="preserve">Universidad Privada de Tacna  ·  Octubre de 2026  ·  </w:t>
    </w:r>
    <w:r>
      <w:rPr>
        <w:rFonts w:ascii="Aptos" w:hAnsi="Aptos"/>
        <w:color w:val="536170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color w:val="1F4263"/>
        <w:sz w:val="16"/>
      </w:rPr>
      <w:t>ÓRBIKA  |  PROPUESTA DE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tos" w:hAnsi="Aptos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órbiKa</dc:title>
  <dc:subject>Plataforma web para la comercialización y revalorización de productos perecibles en Tacna</dc:subject>
  <dc:creator>Grupo G01 · Universidad Privada de Tacna</dc:creator>
  <cp:keywords>órbiKa, Tacna, propuesta de proyecto, consumo sostenible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