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82"/>
          <w:tab w:val="center" w:leader="none" w:pos="4252"/>
        </w:tabs>
        <w:jc w:val="center"/>
        <w:rPr>
          <w:rFonts w:ascii="Arial" w:cs="Arial" w:eastAsia="Arial" w:hAnsi="Arial"/>
          <w:b w:val="1"/>
          <w:bCs w:val="1"/>
          <w:color w:val="000000"/>
          <w:sz w:val="40"/>
          <w:szCs w:val="40"/>
        </w:rPr>
      </w:pPr>
      <w:r w:rsidDel="00000000" w:rsidR="00000000" w:rsidRPr="00000000">
        <w:rPr>
          <w:rFonts w:ascii="Arial" w:cs="Arial" w:eastAsia="Arial" w:hAnsi="Arial"/>
          <w:b w:val="1"/>
          <w:bCs w:val="1"/>
          <w:color w:val="000000"/>
          <w:sz w:val="40"/>
          <w:szCs w:val="40"/>
          <w:rtl w:val="0"/>
        </w:rPr>
        <w:t xml:space="preserve">Acta de Reunión Nro. </w:t>
      </w:r>
      <w:r w:rsidDel="00000000" w:rsidR="00000000" w:rsidRPr="00000000">
        <w:rPr>
          <w:rFonts w:ascii="Arial" w:cs="Arial" w:eastAsia="Arial" w:hAnsi="Arial"/>
          <w:b w:val="1"/>
          <w:bCs w:val="1"/>
          <w:sz w:val="40"/>
          <w:szCs w:val="40"/>
          <w:rtl w:val="0"/>
        </w:rPr>
        <w:t xml:space="preserve">01</w:t>
      </w:r>
      <w:r w:rsidDel="00000000" w:rsidR="00000000" w:rsidRPr="00000000">
        <w:rPr>
          <w:rtl w:val="0"/>
        </w:rPr>
      </w:r>
    </w:p>
    <w:p w:rsidR="00000000" w:rsidDel="00000000" w:rsidP="00000000" w:rsidRDefault="00000000" w:rsidRPr="00000000" w14:paraId="00000002">
      <w:pPr>
        <w:tabs>
          <w:tab w:val="left" w:leader="none" w:pos="782"/>
          <w:tab w:val="center" w:leader="none" w:pos="4252"/>
        </w:tabs>
        <w:rPr>
          <w:rFonts w:ascii="Arial" w:cs="Arial" w:eastAsia="Arial" w:hAnsi="Arial"/>
          <w:color w:val="000000"/>
        </w:rPr>
      </w:pPr>
      <w:r w:rsidDel="00000000" w:rsidR="00000000" w:rsidRPr="00000000">
        <w:rPr>
          <w:rtl w:val="0"/>
        </w:rPr>
      </w:r>
    </w:p>
    <w:tbl>
      <w:tblPr>
        <w:tblStyle w:val="Table1"/>
        <w:tblW w:w="9063.999999999998" w:type="dxa"/>
        <w:jc w:val="left"/>
        <w:tblLayout w:type="fixed"/>
        <w:tblLook w:val="0400"/>
      </w:tblPr>
      <w:tblGrid>
        <w:gridCol w:w="1852"/>
        <w:gridCol w:w="1852"/>
        <w:gridCol w:w="1852"/>
        <w:gridCol w:w="3508"/>
        <w:tblGridChange w:id="0">
          <w:tblGrid>
            <w:gridCol w:w="1852"/>
            <w:gridCol w:w="1852"/>
            <w:gridCol w:w="1852"/>
            <w:gridCol w:w="350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rtl w:val="0"/>
              </w:rPr>
              <w:t xml:space="preserve">Proyecto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4">
            <w:pPr>
              <w:spacing w:after="0" w:lineRule="auto"/>
              <w:rPr>
                <w:rFonts w:ascii="Arial" w:cs="Arial" w:eastAsia="Arial" w:hAnsi="Arial"/>
              </w:rPr>
            </w:pPr>
            <w:r w:rsidDel="00000000" w:rsidR="00000000" w:rsidRPr="00000000">
              <w:rPr>
                <w:rFonts w:ascii="Arial" w:cs="Arial" w:eastAsia="Arial" w:hAnsi="Arial"/>
                <w:rtl w:val="0"/>
              </w:rPr>
              <w:t xml:space="preserve">Construccion de Software 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rtl w:val="0"/>
              </w:rPr>
              <w:t xml:space="preserve">Lugar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Laboratorio F</w:t>
            </w:r>
          </w:p>
        </w:tc>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24/08/2026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rtl w:val="0"/>
              </w:rPr>
              <w:t xml:space="preserve">Líder de equipo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Brant Antony Chata Choque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bCs w:val="1"/>
                <w:rtl w:val="0"/>
              </w:rPr>
              <w:t xml:space="preserve">Participantes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Del Equipo:</w:t>
            </w:r>
          </w:p>
          <w:p w:rsidR="00000000" w:rsidDel="00000000" w:rsidP="00000000" w:rsidRDefault="00000000" w:rsidRPr="00000000" w14:paraId="0000001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Brant Antony Chata Choque</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2B">
            <w:pPr>
              <w:jc w:val="center"/>
              <w:rPr>
                <w:rFonts w:ascii="Arial" w:cs="Arial" w:eastAsia="Arial" w:hAnsi="Arial"/>
              </w:rPr>
            </w:pPr>
            <w:r w:rsidDel="00000000" w:rsidR="00000000" w:rsidRPr="00000000">
              <w:rPr>
                <w:rFonts w:ascii="Arial" w:cs="Arial" w:eastAsia="Arial" w:hAnsi="Arial"/>
                <w:b w:val="1"/>
                <w:bCs w:val="1"/>
                <w:rtl w:val="0"/>
              </w:rPr>
              <w:t xml:space="preserve">Agenda</w:t>
            </w:r>
            <w:r w:rsidDel="00000000" w:rsidR="00000000" w:rsidRPr="00000000">
              <w:rPr>
                <w:rtl w:val="0"/>
              </w:rPr>
            </w:r>
          </w:p>
        </w:tc>
      </w:tr>
      <w:tr>
        <w:trPr>
          <w:cantSplit w:val="0"/>
          <w:trHeight w:val="94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after="12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Verificación de asistencia.</w:t>
            </w:r>
          </w:p>
          <w:p w:rsidR="00000000" w:rsidDel="00000000" w:rsidP="00000000" w:rsidRDefault="00000000" w:rsidRPr="00000000" w14:paraId="00000031">
            <w:pPr>
              <w:spacing w:after="12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Revisión del problema de investigación: pérdida de valor comercial y desperdicio de productos perecibles en la provincia de Tacna.</w:t>
            </w:r>
          </w:p>
          <w:p w:rsidR="00000000" w:rsidDel="00000000" w:rsidP="00000000" w:rsidRDefault="00000000" w:rsidRPr="00000000" w14:paraId="00000032">
            <w:pPr>
              <w:spacing w:after="12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Definición del modelo de negocio del proyecto mediante la herramienta Modelo Canvas (9 bloques).</w:t>
            </w:r>
          </w:p>
          <w:p w:rsidR="00000000" w:rsidDel="00000000" w:rsidP="00000000" w:rsidRDefault="00000000" w:rsidRPr="00000000" w14:paraId="00000033">
            <w:pPr>
              <w:spacing w:after="12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Validación de la coherencia entre el problema, la propuesta de valor y los segmentos de clientes definidos.</w:t>
            </w:r>
          </w:p>
          <w:p w:rsidR="00000000" w:rsidDel="00000000" w:rsidP="00000000" w:rsidRDefault="00000000" w:rsidRPr="00000000" w14:paraId="00000034">
            <w:pPr>
              <w:spacing w:after="0" w:lineRule="auto"/>
              <w:jc w:val="both"/>
              <w:rPr>
                <w:rFonts w:ascii="Roboto" w:cs="Roboto" w:eastAsia="Roboto" w:hAnsi="Roboto"/>
              </w:rPr>
            </w:pPr>
            <w:r w:rsidDel="00000000" w:rsidR="00000000" w:rsidRPr="00000000">
              <w:rPr>
                <w:rFonts w:ascii="Times New Roman" w:cs="Times New Roman" w:eastAsia="Times New Roman" w:hAnsi="Times New Roman"/>
                <w:sz w:val="21"/>
                <w:szCs w:val="21"/>
                <w:rtl w:val="0"/>
              </w:rPr>
              <w:t xml:space="preserve">Acuerdos y cierre.</w:t>
            </w:r>
            <w:r w:rsidDel="00000000" w:rsidR="00000000" w:rsidRPr="00000000">
              <w:rPr>
                <w:rFonts w:ascii="Roboto" w:cs="Roboto" w:eastAsia="Roboto" w:hAnsi="Roboto"/>
                <w:rtl w:val="0"/>
              </w:rPr>
              <w:t xml:space="preserve"> </w:t>
            </w:r>
          </w:p>
          <w:p w:rsidR="00000000" w:rsidDel="00000000" w:rsidP="00000000" w:rsidRDefault="00000000" w:rsidRPr="00000000" w14:paraId="00000035">
            <w:pPr>
              <w:spacing w:after="0" w:lineRule="auto"/>
              <w:jc w:val="both"/>
              <w:rPr>
                <w:rFonts w:ascii="Arial" w:cs="Arial" w:eastAsia="Arial" w:hAnsi="Arial"/>
              </w:rPr>
            </w:pPr>
            <w:r w:rsidDel="00000000" w:rsidR="00000000" w:rsidRPr="00000000">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39">
            <w:pPr>
              <w:jc w:val="center"/>
              <w:rPr>
                <w:rFonts w:ascii="Arial" w:cs="Arial" w:eastAsia="Arial" w:hAnsi="Arial"/>
              </w:rPr>
            </w:pPr>
            <w:r w:rsidDel="00000000" w:rsidR="00000000" w:rsidRPr="00000000">
              <w:rPr>
                <w:rFonts w:ascii="Arial" w:cs="Arial" w:eastAsia="Arial" w:hAnsi="Arial"/>
                <w:b w:val="1"/>
                <w:bCs w:val="1"/>
                <w:rtl w:val="0"/>
              </w:rPr>
              <w:t xml:space="preserve">Desarrollo de la Agenda</w:t>
            </w:r>
            <w:r w:rsidDel="00000000" w:rsidR="00000000" w:rsidRPr="00000000">
              <w:rPr>
                <w:rtl w:val="0"/>
              </w:rPr>
            </w:r>
          </w:p>
        </w:tc>
      </w:tr>
      <w:tr>
        <w:trPr>
          <w:cantSplit w:val="0"/>
          <w:trHeight w:val="225" w:hRule="atLeast"/>
          <w:tblHeader w:val="0"/>
        </w:trPr>
        <w:tc>
          <w:tcPr>
            <w:gridSpan w:val="4"/>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3D">
            <w:pPr>
              <w:spacing w:after="0" w:lineRule="auto"/>
              <w:jc w:val="center"/>
              <w:rPr>
                <w:rFonts w:ascii="Arial" w:cs="Arial" w:eastAsia="Arial" w:hAnsi="Arial"/>
              </w:rPr>
            </w:pPr>
            <w:r w:rsidDel="00000000" w:rsidR="00000000" w:rsidRPr="00000000">
              <w:rPr>
                <w:rtl w:val="0"/>
              </w:rPr>
            </w:r>
          </w:p>
        </w:tc>
      </w:tr>
      <w:tr>
        <w:trPr>
          <w:cantSplit w:val="0"/>
          <w:trHeight w:val="1230"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spacing w:line="257"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rPr>
                <w:rFonts w:ascii="Roboto" w:cs="Roboto" w:eastAsia="Roboto" w:hAnsi="Roboto"/>
              </w:rPr>
            </w:pPr>
            <w:r w:rsidDel="00000000" w:rsidR="00000000" w:rsidRPr="00000000">
              <w:rPr>
                <w:rFonts w:ascii="Arial" w:cs="Arial" w:eastAsia="Arial" w:hAnsi="Arial"/>
                <w:b w:val="1"/>
                <w:bCs w:val="1"/>
                <w:rtl w:val="0"/>
              </w:rPr>
              <w:t xml:space="preserve">Sobre Punto 1:</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Definir una estructura base que permita crear proyectos asociados a metodologías (Scrum, Cascada, etc.), equipos (con miembros multirrol) y cronogramas.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los Elementos de Configuración (EC) obligatorios por metodología (ej: en Ágil: Sprint Backlog; en Cascada: Documento de Requisitos).- punto 1</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confirmó la participación del integrante convocado. La reunión se desarrolló con normalidad y sin incidencias.</w:t>
            </w:r>
          </w:p>
          <w:p w:rsidR="00000000" w:rsidDel="00000000" w:rsidP="00000000" w:rsidRDefault="00000000" w:rsidRPr="00000000" w14:paraId="00000046">
            <w:pPr>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Sobre Punto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revisó el problema de investigación identificado para el proyecto "Plataforma web para la comercialización de productos perecibles a precio reducido como estrategia frente al desperdicio de alimentos en la provincia de Tacna, 2026". Se estableció que el problema principal radica en que los productos perecibles pierden su valor comercial antes de la fecha de vencimiento, lo que genera pérdida económica para los comerciantes y desperdicio de alimentos aptos para el consumo, además de limitar el acceso de las familias a productos a menor precio.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Roboto" w:cs="Roboto" w:eastAsia="Roboto" w:hAnsi="Roboto"/>
              </w:rPr>
            </w:pPr>
            <w:r w:rsidDel="00000000" w:rsidR="00000000" w:rsidRPr="00000000">
              <w:rPr>
                <w:rFonts w:ascii="Arial" w:cs="Arial" w:eastAsia="Arial" w:hAnsi="Arial"/>
                <w:b w:val="1"/>
                <w:bCs w:val="1"/>
                <w:rtl w:val="0"/>
              </w:rPr>
              <w:t xml:space="preserve">Sobre Punto 3:</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definió el modelo de negocio del proyecto mediante la herramienta Modelo Canvas, estableciéndose los 9 bloques siguientes: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Socios clave: supermercados y minimarkets, restaurantes y panaderías, productores agrícolas de Tacna, repartidores/delivery y pasarela de pagos (Yape, Plin, tarjetas).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Actividades clave: publicación de productos próximos a vencer, verificación de calidad, intermediación entre vendedor y comprador, y marketing digital de consumo responsable.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Recursos clave: plataforma web, base de datos de productos y usuarios, y equipo de soporte técnico.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Propuesta de valor: precio reducido, accesibilidad, sostenibilidad y confianza, mediante la comercialización de frutas y verduras, panadería y pastelería, y lácteos y otros productos perecibles.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Relación con clientes: compra directa en la plataforma, alertas de nuevos descuentos y sistema de reseñas y valoraciones.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Canales: plataforma web, redes sociales (Facebook, Instagram, TikTok) y WhatsApp/correo electrónico.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Segmentos de clientes: comerciantes, panaderías y productores agrícolas (lado oferta); familias, estudiantes y consumidores conscientes del desperdicio de alimentos (lado demanda).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Estructura de costos: desarrollo y hosting de la plataforma, marketing y publicidad digital, personal de soporte técnico y comisiones de pasarela de pagos.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Fuente de ingresos: comisión por venta realizada en la plataforma, suscripción mensual para comerciantes (plan premium), publicidad destacada dentro de la app y tarifa por servicio de delivery.</w:t>
            </w:r>
          </w:p>
          <w:p w:rsidR="00000000" w:rsidDel="00000000" w:rsidP="00000000" w:rsidRDefault="00000000" w:rsidRPr="00000000" w14:paraId="00000054">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Sobre Punto 4:</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validó la coherencia entre el problema de investigación, la propuesta de valor y los segmentos de clientes definidos en el Modelo Canvas, verificando que la plataforma responda directamente a la reducción del desperdicio de alimentos perecibles en la provincia de Tacna mediante su comercialización a precio reducido.</w:t>
            </w:r>
            <w:r w:rsidDel="00000000" w:rsidR="00000000" w:rsidRPr="00000000">
              <w:rPr>
                <w:rtl w:val="0"/>
              </w:rPr>
            </w:r>
          </w:p>
          <w:p w:rsidR="00000000" w:rsidDel="00000000" w:rsidP="00000000" w:rsidRDefault="00000000" w:rsidRPr="00000000" w14:paraId="00000056">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Sobre Punto 5:</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validó la definición del Modelo Canvas como base para la elaboración del planteamiento del problema, los objetivos y el marco metodológico del plan de tesis. Se acordó mantener la coherencia entre cada bloque del modelo y los capítulos siguientes del documento.</w:t>
            </w:r>
            <w:r w:rsidDel="00000000" w:rsidR="00000000" w:rsidRPr="00000000">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5B">
            <w:pPr>
              <w:jc w:val="center"/>
              <w:rPr>
                <w:rFonts w:ascii="Arial" w:cs="Arial" w:eastAsia="Arial" w:hAnsi="Arial"/>
              </w:rPr>
            </w:pPr>
            <w:r w:rsidDel="00000000" w:rsidR="00000000" w:rsidRPr="00000000">
              <w:rPr>
                <w:rFonts w:ascii="Arial" w:cs="Arial" w:eastAsia="Arial" w:hAnsi="Arial"/>
                <w:b w:val="1"/>
                <w:bCs w:val="1"/>
                <w:rtl w:val="0"/>
              </w:rPr>
              <w:t xml:space="preserve">Calificación de Miembros</w:t>
            </w:r>
            <w:r w:rsidDel="00000000" w:rsidR="00000000" w:rsidRPr="00000000">
              <w:rPr>
                <w:rtl w:val="0"/>
              </w:rPr>
            </w:r>
          </w:p>
        </w:tc>
      </w:tr>
      <w:tr>
        <w:trPr>
          <w:cantSplit w:val="0"/>
          <w:trHeight w:val="55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rPr>
                <w:rFonts w:ascii="Arial" w:cs="Arial" w:eastAsia="Arial" w:hAnsi="Arial"/>
                <w:sz w:val="14"/>
                <w:szCs w:val="14"/>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Nombre                                                       Nota</w:t>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Brant Antony Chata Choque                        20</w:t>
            </w:r>
          </w:p>
          <w:p w:rsidR="00000000" w:rsidDel="00000000" w:rsidP="00000000" w:rsidRDefault="00000000" w:rsidRPr="00000000" w14:paraId="00000062">
            <w:pPr>
              <w:rPr>
                <w:rFonts w:ascii="Arial" w:cs="Arial" w:eastAsia="Arial" w:hAnsi="Arial"/>
              </w:rPr>
            </w:pPr>
            <w:r w:rsidDel="00000000" w:rsidR="00000000" w:rsidRPr="00000000">
              <w:rPr>
                <w:rtl w:val="0"/>
              </w:rPr>
            </w:r>
          </w:p>
        </w:tc>
      </w:tr>
      <w:tr>
        <w:trPr>
          <w:cantSplit w:val="0"/>
          <w:trHeight w:val="362" w:hRule="atLeast"/>
          <w:tblHeader w:val="0"/>
        </w:trPr>
        <w:tc>
          <w:tcPr>
            <w:gridSpan w:val="4"/>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66">
            <w:pPr>
              <w:jc w:val="center"/>
              <w:rPr>
                <w:rFonts w:ascii="Arial" w:cs="Arial" w:eastAsia="Arial" w:hAnsi="Arial"/>
              </w:rPr>
            </w:pPr>
            <w:r w:rsidDel="00000000" w:rsidR="00000000" w:rsidRPr="00000000">
              <w:rPr>
                <w:rFonts w:ascii="Arial" w:cs="Arial" w:eastAsia="Arial" w:hAnsi="Arial"/>
                <w:b w:val="1"/>
                <w:bCs w:val="1"/>
                <w:rtl w:val="0"/>
              </w:rPr>
              <w:t xml:space="preserve">Aprobación</w:t>
            </w:r>
            <w:r w:rsidDel="00000000" w:rsidR="00000000" w:rsidRPr="00000000">
              <w:rPr>
                <w:rtl w:val="0"/>
              </w:rPr>
            </w:r>
          </w:p>
        </w:tc>
      </w:tr>
      <w:tr>
        <w:trPr>
          <w:cantSplit w:val="0"/>
          <w:trHeight w:val="55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jc w:val="center"/>
              <w:rPr>
                <w:rFonts w:ascii="Arial" w:cs="Arial" w:eastAsia="Arial" w:hAnsi="Arial"/>
              </w:rPr>
            </w:pPr>
            <w:r w:rsidDel="00000000" w:rsidR="00000000" w:rsidRPr="00000000">
              <w:rPr>
                <w:rtl w:val="0"/>
              </w:rPr>
            </w:r>
          </w:p>
          <w:p w:rsidR="00000000" w:rsidDel="00000000" w:rsidP="00000000" w:rsidRDefault="00000000" w:rsidRPr="00000000" w14:paraId="0000006B">
            <w:pPr>
              <w:jc w:val="center"/>
              <w:rPr>
                <w:rFonts w:ascii="Calibri" w:cs="Calibri" w:eastAsia="Calibri" w:hAnsi="Calibri"/>
              </w:rPr>
            </w:pPr>
            <w:r w:rsidDel="00000000" w:rsidR="00000000" w:rsidRPr="00000000">
              <w:rPr/>
              <w:drawing>
                <wp:inline distB="114300" distT="114300" distL="114300" distR="114300">
                  <wp:extent cx="3190875" cy="13906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908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rFonts w:ascii="Calibri" w:cs="Calibri" w:eastAsia="Calibri" w:hAnsi="Calibri"/>
              </w:rPr>
            </w:pPr>
            <w:r w:rsidDel="00000000" w:rsidR="00000000" w:rsidRPr="00000000">
              <w:rPr>
                <w:rFonts w:ascii="Arial" w:cs="Arial" w:eastAsia="Arial" w:hAnsi="Arial"/>
                <w:rtl w:val="0"/>
              </w:rPr>
              <w:t xml:space="preserve">Brant Antony Chata Choque</w:t>
            </w:r>
            <w:r w:rsidDel="00000000" w:rsidR="00000000" w:rsidRPr="00000000">
              <w:rPr>
                <w:rtl w:val="0"/>
              </w:rPr>
            </w:r>
          </w:p>
        </w:tc>
      </w:tr>
    </w:tbl>
    <w:p w:rsidR="00000000" w:rsidDel="00000000" w:rsidP="00000000" w:rsidRDefault="00000000" w:rsidRPr="00000000" w14:paraId="00000070">
      <w:pPr>
        <w:tabs>
          <w:tab w:val="left" w:leader="none" w:pos="1455"/>
        </w:tabs>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Prrafodelista">
    <w:name w:val="List Paragraph"/>
    <w:basedOn w:val="Normal"/>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vL80krQiXMfbP+3usDwU93ezgQ==">CgMxLjA4AHIhMU5FS1JMUmU2d2RYcWpPNTJjZGhmM095Y1RWc3lnclZm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2025-04-02T00:03:00Z</dcterms:created>
  <dc:creator>Jhon Thomas TICONA CHAMBI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0x01010001FF02BE3BB1F641A8C2DA6EA8A5488A</vt:lpwstr>
  </property>
  <property fmtid="{D5CDD505-2E9C-101B-9397-08002B2CF9AE}" pid="3" name="MediaServiceImageTags">
    <vt:lpwstr/>
  </property>
</Properties>
</file>