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BE547" w14:textId="77777777" w:rsidR="00B44469" w:rsidRDefault="00B44469" w:rsidP="00B44469">
      <w:pPr>
        <w:spacing w:after="60" w:line="276" w:lineRule="auto"/>
        <w:jc w:val="center"/>
        <w:rPr>
          <w:rFonts w:ascii="Times New Roman" w:hAnsi="Times New Roman" w:cs="Times New Roman"/>
          <w:b/>
          <w:color w:val="1E3A2B"/>
          <w:sz w:val="36"/>
        </w:rPr>
      </w:pPr>
      <w:r w:rsidRPr="00B44469">
        <w:rPr>
          <w:rFonts w:ascii="Times New Roman" w:hAnsi="Times New Roman" w:cs="Times New Roman"/>
          <w:b/>
          <w:color w:val="1E3A2B"/>
          <w:sz w:val="36"/>
        </w:rPr>
        <w:t>UNIVERSIDAD PRIVADA DE TACNA</w:t>
      </w:r>
    </w:p>
    <w:p w14:paraId="3547B6CD" w14:textId="77777777" w:rsidR="00B44469" w:rsidRDefault="00B44469" w:rsidP="00B44469">
      <w:pPr>
        <w:spacing w:after="60" w:line="276" w:lineRule="auto"/>
        <w:jc w:val="center"/>
        <w:rPr>
          <w:rFonts w:ascii="Times New Roman" w:hAnsi="Times New Roman" w:cs="Times New Roman"/>
          <w:b/>
          <w:color w:val="1E3A2B"/>
          <w:sz w:val="30"/>
        </w:rPr>
      </w:pPr>
      <w:r w:rsidRPr="00B44469">
        <w:rPr>
          <w:rFonts w:ascii="Times New Roman" w:hAnsi="Times New Roman" w:cs="Times New Roman"/>
          <w:b/>
          <w:color w:val="1E3A2B"/>
          <w:sz w:val="30"/>
        </w:rPr>
        <w:t>FACULTAD DE INGENIERÍA</w:t>
      </w:r>
    </w:p>
    <w:p w14:paraId="1B3CA06E" w14:textId="77777777" w:rsidR="00B44469" w:rsidRDefault="00B44469" w:rsidP="00B44469">
      <w:pPr>
        <w:spacing w:after="720" w:line="276" w:lineRule="auto"/>
        <w:jc w:val="center"/>
        <w:rPr>
          <w:rFonts w:ascii="Times New Roman" w:hAnsi="Times New Roman" w:cs="Times New Roman"/>
          <w:b/>
          <w:color w:val="444444"/>
          <w:sz w:val="26"/>
        </w:rPr>
      </w:pPr>
      <w:r w:rsidRPr="00B44469">
        <w:rPr>
          <w:rFonts w:ascii="Times New Roman" w:hAnsi="Times New Roman" w:cs="Times New Roman"/>
          <w:b/>
          <w:color w:val="444444"/>
          <w:sz w:val="26"/>
        </w:rPr>
        <w:t>Escuela Profesional de Ingeniería de Sistemas</w:t>
      </w:r>
    </w:p>
    <w:p w14:paraId="7FE35A26" w14:textId="77777777" w:rsidR="00B44469" w:rsidRDefault="00B44469" w:rsidP="00B44469">
      <w:pPr>
        <w:spacing w:after="80" w:line="276" w:lineRule="auto"/>
        <w:jc w:val="center"/>
        <w:rPr>
          <w:rFonts w:ascii="Times New Roman" w:hAnsi="Times New Roman" w:cs="Times New Roman"/>
          <w:b/>
          <w:color w:val="555555"/>
        </w:rPr>
      </w:pPr>
      <w:r w:rsidRPr="00B44469">
        <w:rPr>
          <w:rFonts w:ascii="Times New Roman" w:hAnsi="Times New Roman" w:cs="Times New Roman"/>
          <w:b/>
          <w:color w:val="555555"/>
        </w:rPr>
        <w:t>PROYECTO:</w:t>
      </w:r>
    </w:p>
    <w:p w14:paraId="50065ADD" w14:textId="77777777" w:rsidR="00B44469" w:rsidRDefault="00B44469" w:rsidP="00B44469">
      <w:pPr>
        <w:spacing w:after="360" w:line="276" w:lineRule="auto"/>
        <w:jc w:val="center"/>
        <w:rPr>
          <w:rFonts w:ascii="Times New Roman" w:hAnsi="Times New Roman" w:cs="Times New Roman"/>
          <w:b/>
          <w:color w:val="1E3A2B"/>
          <w:sz w:val="29"/>
        </w:rPr>
      </w:pPr>
      <w:r w:rsidRPr="00B44469">
        <w:rPr>
          <w:rFonts w:ascii="Times New Roman" w:hAnsi="Times New Roman" w:cs="Times New Roman"/>
          <w:b/>
          <w:color w:val="1E3A2B"/>
          <w:sz w:val="29"/>
        </w:rPr>
        <w:t>«Plataforma web para la comercialización y revalorización de productos perecibles orientada al consumo sostenible en la provincia de Tacna»</w:t>
      </w:r>
    </w:p>
    <w:p w14:paraId="1ED8C241" w14:textId="77777777" w:rsidR="00B44469" w:rsidRDefault="00B44469" w:rsidP="00B44469">
      <w:pPr>
        <w:spacing w:after="60" w:line="276" w:lineRule="auto"/>
        <w:jc w:val="center"/>
        <w:rPr>
          <w:rFonts w:ascii="Times New Roman" w:hAnsi="Times New Roman" w:cs="Times New Roman"/>
          <w:b/>
          <w:color w:val="333333"/>
          <w:sz w:val="26"/>
        </w:rPr>
      </w:pPr>
      <w:r w:rsidRPr="00B44469">
        <w:rPr>
          <w:rFonts w:ascii="Times New Roman" w:hAnsi="Times New Roman" w:cs="Times New Roman"/>
          <w:b/>
          <w:color w:val="333333"/>
          <w:sz w:val="26"/>
        </w:rPr>
        <w:t>FORMATO FD05</w:t>
      </w:r>
    </w:p>
    <w:p w14:paraId="7CA0F5A7" w14:textId="77777777" w:rsidR="00B44469" w:rsidRDefault="00B44469" w:rsidP="00B44469">
      <w:pPr>
        <w:spacing w:after="600" w:line="276" w:lineRule="auto"/>
        <w:jc w:val="center"/>
        <w:rPr>
          <w:rFonts w:ascii="Times New Roman" w:hAnsi="Times New Roman" w:cs="Times New Roman"/>
          <w:b/>
          <w:color w:val="1E3A2B"/>
          <w:sz w:val="33"/>
        </w:rPr>
      </w:pPr>
      <w:r w:rsidRPr="00B44469">
        <w:rPr>
          <w:rFonts w:ascii="Times New Roman" w:hAnsi="Times New Roman" w:cs="Times New Roman"/>
          <w:b/>
          <w:color w:val="1E3A2B"/>
          <w:sz w:val="33"/>
        </w:rPr>
        <w:t>INFORME FINAL DEL PROYECTO DE CONSTRUCCIÓN DE SOFTWARE</w:t>
      </w:r>
    </w:p>
    <w:p w14:paraId="45FCF0CB" w14:textId="77777777" w:rsidR="00B44469" w:rsidRDefault="00B44469" w:rsidP="00B44469">
      <w:pPr>
        <w:spacing w:after="40" w:line="276" w:lineRule="auto"/>
        <w:jc w:val="center"/>
        <w:rPr>
          <w:rFonts w:ascii="Times New Roman" w:hAnsi="Times New Roman" w:cs="Times New Roman"/>
          <w:b/>
          <w:color w:val="333333"/>
        </w:rPr>
      </w:pPr>
      <w:r w:rsidRPr="00B44469">
        <w:rPr>
          <w:rFonts w:ascii="Times New Roman" w:hAnsi="Times New Roman" w:cs="Times New Roman"/>
          <w:b/>
          <w:color w:val="333333"/>
        </w:rPr>
        <w:t>Curso:</w:t>
      </w:r>
    </w:p>
    <w:p w14:paraId="13AE6F98" w14:textId="77777777" w:rsidR="00B44469" w:rsidRDefault="00B44469" w:rsidP="00B44469">
      <w:pPr>
        <w:spacing w:after="280" w:line="276" w:lineRule="auto"/>
        <w:jc w:val="center"/>
        <w:rPr>
          <w:rFonts w:ascii="Times New Roman" w:hAnsi="Times New Roman" w:cs="Times New Roman"/>
          <w:color w:val="111111"/>
          <w:sz w:val="26"/>
        </w:rPr>
      </w:pPr>
      <w:r w:rsidRPr="00B44469">
        <w:rPr>
          <w:rFonts w:ascii="Times New Roman" w:hAnsi="Times New Roman" w:cs="Times New Roman"/>
          <w:color w:val="111111"/>
          <w:sz w:val="26"/>
        </w:rPr>
        <w:t>Construcción de Software I (SI-083)</w:t>
      </w:r>
    </w:p>
    <w:p w14:paraId="25FBD783" w14:textId="77777777" w:rsidR="00B44469" w:rsidRDefault="00B44469" w:rsidP="00B44469">
      <w:pPr>
        <w:spacing w:after="40" w:line="276" w:lineRule="auto"/>
        <w:jc w:val="center"/>
        <w:rPr>
          <w:rFonts w:ascii="Times New Roman" w:hAnsi="Times New Roman" w:cs="Times New Roman"/>
          <w:b/>
          <w:color w:val="333333"/>
        </w:rPr>
      </w:pPr>
      <w:r w:rsidRPr="00B44469">
        <w:rPr>
          <w:rFonts w:ascii="Times New Roman" w:hAnsi="Times New Roman" w:cs="Times New Roman"/>
          <w:b/>
          <w:color w:val="333333"/>
        </w:rPr>
        <w:t>Docente Evaluador:</w:t>
      </w:r>
    </w:p>
    <w:p w14:paraId="49878665" w14:textId="77777777" w:rsidR="00B44469" w:rsidRDefault="00B44469" w:rsidP="00B44469">
      <w:pPr>
        <w:spacing w:after="400" w:line="276" w:lineRule="auto"/>
        <w:jc w:val="center"/>
        <w:rPr>
          <w:rFonts w:ascii="Times New Roman" w:hAnsi="Times New Roman" w:cs="Times New Roman"/>
          <w:color w:val="111111"/>
          <w:sz w:val="26"/>
        </w:rPr>
      </w:pPr>
      <w:r w:rsidRPr="00B44469">
        <w:rPr>
          <w:rFonts w:ascii="Times New Roman" w:hAnsi="Times New Roman" w:cs="Times New Roman"/>
          <w:color w:val="111111"/>
          <w:sz w:val="26"/>
        </w:rPr>
        <w:t>MAG. RICARDO EDUARDO VALCARCEL ALVARADO</w:t>
      </w:r>
    </w:p>
    <w:p w14:paraId="6F3BA74E" w14:textId="77777777" w:rsidR="00B44469" w:rsidRDefault="00B44469" w:rsidP="00B44469">
      <w:pPr>
        <w:spacing w:after="80" w:line="276" w:lineRule="auto"/>
        <w:jc w:val="center"/>
        <w:rPr>
          <w:rFonts w:ascii="Times New Roman" w:hAnsi="Times New Roman" w:cs="Times New Roman"/>
          <w:b/>
          <w:color w:val="333333"/>
        </w:rPr>
      </w:pPr>
      <w:r w:rsidRPr="00B44469">
        <w:rPr>
          <w:rFonts w:ascii="Times New Roman" w:hAnsi="Times New Roman" w:cs="Times New Roman"/>
          <w:b/>
          <w:color w:val="333333"/>
        </w:rPr>
        <w:t>Integrantes del Equipo de Desarrollo (Grupo G01):</w:t>
      </w:r>
    </w:p>
    <w:p w14:paraId="5E8E5AA3" w14:textId="77777777" w:rsidR="00B44469" w:rsidRDefault="00B44469" w:rsidP="00B44469">
      <w:pPr>
        <w:spacing w:after="60" w:line="276" w:lineRule="auto"/>
        <w:jc w:val="center"/>
        <w:rPr>
          <w:rFonts w:ascii="Times New Roman" w:hAnsi="Times New Roman" w:cs="Times New Roman"/>
          <w:color w:val="111111"/>
          <w:sz w:val="24"/>
        </w:rPr>
      </w:pPr>
      <w:r w:rsidRPr="00B44469">
        <w:rPr>
          <w:rFonts w:ascii="Times New Roman" w:hAnsi="Times New Roman" w:cs="Times New Roman"/>
          <w:color w:val="111111"/>
          <w:sz w:val="24"/>
        </w:rPr>
        <w:t xml:space="preserve">Loyola Vilca, Renzo Fernando </w:t>
      </w:r>
      <w:proofErr w:type="gramStart"/>
      <w:r w:rsidRPr="00B44469">
        <w:rPr>
          <w:rFonts w:ascii="Times New Roman" w:hAnsi="Times New Roman" w:cs="Times New Roman"/>
          <w:color w:val="111111"/>
          <w:sz w:val="24"/>
        </w:rPr>
        <w:t xml:space="preserve">   (</w:t>
      </w:r>
      <w:proofErr w:type="gramEnd"/>
      <w:r w:rsidRPr="00B44469">
        <w:rPr>
          <w:rFonts w:ascii="Times New Roman" w:hAnsi="Times New Roman" w:cs="Times New Roman"/>
          <w:color w:val="111111"/>
          <w:sz w:val="24"/>
        </w:rPr>
        <w:t>Código: 2021072615)</w:t>
      </w:r>
    </w:p>
    <w:p w14:paraId="1638106F" w14:textId="77777777" w:rsidR="00B44469" w:rsidRDefault="00B44469" w:rsidP="00B44469">
      <w:pPr>
        <w:spacing w:after="760" w:line="276" w:lineRule="auto"/>
        <w:jc w:val="center"/>
        <w:rPr>
          <w:rFonts w:ascii="Times New Roman" w:hAnsi="Times New Roman" w:cs="Times New Roman"/>
          <w:color w:val="111111"/>
          <w:sz w:val="24"/>
        </w:rPr>
      </w:pPr>
      <w:r w:rsidRPr="00B44469">
        <w:rPr>
          <w:rFonts w:ascii="Times New Roman" w:hAnsi="Times New Roman" w:cs="Times New Roman"/>
          <w:color w:val="111111"/>
          <w:sz w:val="24"/>
        </w:rPr>
        <w:t xml:space="preserve">Brant Antony Chata Choque </w:t>
      </w:r>
      <w:proofErr w:type="gramStart"/>
      <w:r w:rsidRPr="00B44469">
        <w:rPr>
          <w:rFonts w:ascii="Times New Roman" w:hAnsi="Times New Roman" w:cs="Times New Roman"/>
          <w:color w:val="111111"/>
          <w:sz w:val="24"/>
        </w:rPr>
        <w:t xml:space="preserve">   (</w:t>
      </w:r>
      <w:proofErr w:type="gramEnd"/>
      <w:r w:rsidRPr="00B44469">
        <w:rPr>
          <w:rFonts w:ascii="Times New Roman" w:hAnsi="Times New Roman" w:cs="Times New Roman"/>
          <w:color w:val="111111"/>
          <w:sz w:val="24"/>
        </w:rPr>
        <w:t>Código: 2020067577)</w:t>
      </w:r>
    </w:p>
    <w:p w14:paraId="7FDB3768" w14:textId="77777777" w:rsidR="00B44469" w:rsidRDefault="00B44469" w:rsidP="00B44469">
      <w:pPr>
        <w:spacing w:after="40" w:line="276" w:lineRule="auto"/>
        <w:jc w:val="center"/>
        <w:rPr>
          <w:rFonts w:ascii="Times New Roman" w:hAnsi="Times New Roman" w:cs="Times New Roman"/>
          <w:b/>
          <w:color w:val="333333"/>
          <w:sz w:val="24"/>
        </w:rPr>
      </w:pPr>
      <w:r w:rsidRPr="00B44469">
        <w:rPr>
          <w:rFonts w:ascii="Times New Roman" w:hAnsi="Times New Roman" w:cs="Times New Roman"/>
          <w:b/>
          <w:color w:val="333333"/>
          <w:sz w:val="24"/>
        </w:rPr>
        <w:t>Tacna - Perú</w:t>
      </w:r>
    </w:p>
    <w:p w14:paraId="17E97CC1" w14:textId="77777777" w:rsidR="00B44469" w:rsidRDefault="00B44469" w:rsidP="00B44469">
      <w:pPr>
        <w:spacing w:after="0" w:line="276" w:lineRule="auto"/>
        <w:jc w:val="center"/>
        <w:rPr>
          <w:rFonts w:ascii="Times New Roman" w:hAnsi="Times New Roman" w:cs="Times New Roman"/>
          <w:b/>
          <w:color w:val="1E3A2B"/>
          <w:sz w:val="28"/>
        </w:rPr>
      </w:pPr>
      <w:r w:rsidRPr="00B44469">
        <w:rPr>
          <w:rFonts w:ascii="Times New Roman" w:hAnsi="Times New Roman" w:cs="Times New Roman"/>
          <w:b/>
          <w:color w:val="1E3A2B"/>
          <w:sz w:val="28"/>
        </w:rPr>
        <w:t>2026</w:t>
      </w:r>
    </w:p>
    <w:p w14:paraId="7363C835" w14:textId="77777777" w:rsidR="00B44469" w:rsidRDefault="00B44469">
      <w:r>
        <w:br w:type="page"/>
      </w:r>
    </w:p>
    <w:p w14:paraId="5604A020" w14:textId="77777777" w:rsidR="00B44469" w:rsidRDefault="00B44469" w:rsidP="00B44469">
      <w:pPr>
        <w:spacing w:line="276" w:lineRule="auto"/>
        <w:rPr>
          <w:rFonts w:ascii="Times New Roman" w:hAnsi="Times New Roman" w:cs="Times New Roman"/>
          <w:b/>
          <w:color w:val="1E3A2B"/>
          <w:sz w:val="28"/>
        </w:rPr>
      </w:pPr>
      <w:r w:rsidRPr="00B44469">
        <w:rPr>
          <w:rFonts w:ascii="Times New Roman" w:hAnsi="Times New Roman" w:cs="Times New Roman"/>
          <w:b/>
          <w:color w:val="1E3A2B"/>
          <w:sz w:val="28"/>
        </w:rPr>
        <w:lastRenderedPageBreak/>
        <w:t>CONTROL DE VERSIONES Y APROBACIONES</w:t>
      </w:r>
    </w:p>
    <w:p w14:paraId="0A7FC3AB" w14:textId="77777777" w:rsidR="00B44469" w:rsidRDefault="00B44469" w:rsidP="00B44469">
      <w:pPr>
        <w:spacing w:after="120" w:line="276" w:lineRule="auto"/>
        <w:jc w:val="both"/>
        <w:rPr>
          <w:rFonts w:ascii="Times New Roman" w:hAnsi="Times New Roman" w:cs="Times New Roman"/>
          <w:color w:val="111111"/>
        </w:rPr>
      </w:pPr>
      <w:r w:rsidRPr="00B44469">
        <w:rPr>
          <w:rFonts w:ascii="Times New Roman" w:hAnsi="Times New Roman" w:cs="Times New Roman"/>
          <w:color w:val="111111"/>
        </w:rPr>
        <w:t>El presente registro consolida las revisiones y evaluaciones formales aplicadas al Informe Final de Cierre del proyecto ÓrbiKa: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900"/>
        <w:gridCol w:w="1300"/>
        <w:gridCol w:w="1200"/>
        <w:gridCol w:w="1200"/>
        <w:gridCol w:w="1200"/>
        <w:gridCol w:w="3600"/>
      </w:tblGrid>
      <w:tr w:rsidR="00B44469" w14:paraId="6562E303" w14:textId="77777777" w:rsidTr="00B44469">
        <w:trPr>
          <w:jc w:val="center"/>
        </w:trPr>
        <w:tc>
          <w:tcPr>
            <w:tcW w:w="900" w:type="dxa"/>
            <w:tcBorders>
              <w:top w:val="single" w:sz="4" w:space="0" w:color="D9D9D9"/>
              <w:bottom w:val="single" w:sz="4" w:space="0" w:color="E0E0E0"/>
            </w:tcBorders>
            <w:shd w:val="clear" w:color="auto" w:fill="1E3A2B"/>
            <w:tcMar>
              <w:top w:w="100" w:type="dxa"/>
              <w:bottom w:w="100" w:type="dxa"/>
            </w:tcMar>
            <w:vAlign w:val="center"/>
          </w:tcPr>
          <w:p w14:paraId="62823B01"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Versión</w:t>
            </w:r>
          </w:p>
        </w:tc>
        <w:tc>
          <w:tcPr>
            <w:tcW w:w="1300" w:type="dxa"/>
            <w:tcBorders>
              <w:top w:val="single" w:sz="4" w:space="0" w:color="D9D9D9"/>
              <w:bottom w:val="single" w:sz="4" w:space="0" w:color="E0E0E0"/>
            </w:tcBorders>
            <w:shd w:val="clear" w:color="auto" w:fill="1E3A2B"/>
            <w:tcMar>
              <w:top w:w="100" w:type="dxa"/>
              <w:bottom w:w="100" w:type="dxa"/>
            </w:tcMar>
            <w:vAlign w:val="center"/>
          </w:tcPr>
          <w:p w14:paraId="391E84EF"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Elaborado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14:paraId="62DE8A0E"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Revisado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14:paraId="0E6334FF"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Aprobado por</w:t>
            </w:r>
          </w:p>
        </w:tc>
        <w:tc>
          <w:tcPr>
            <w:tcW w:w="1200" w:type="dxa"/>
            <w:tcBorders>
              <w:top w:val="single" w:sz="4" w:space="0" w:color="D9D9D9"/>
              <w:bottom w:val="single" w:sz="4" w:space="0" w:color="E0E0E0"/>
            </w:tcBorders>
            <w:shd w:val="clear" w:color="auto" w:fill="1E3A2B"/>
            <w:tcMar>
              <w:top w:w="100" w:type="dxa"/>
              <w:bottom w:w="100" w:type="dxa"/>
            </w:tcMar>
            <w:vAlign w:val="center"/>
          </w:tcPr>
          <w:p w14:paraId="0EF4E26C"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Fecha</w:t>
            </w:r>
          </w:p>
        </w:tc>
        <w:tc>
          <w:tcPr>
            <w:tcW w:w="3600" w:type="dxa"/>
            <w:tcBorders>
              <w:top w:val="single" w:sz="4" w:space="0" w:color="D9D9D9"/>
              <w:bottom w:val="single" w:sz="4" w:space="0" w:color="E0E0E0"/>
            </w:tcBorders>
            <w:shd w:val="clear" w:color="auto" w:fill="1E3A2B"/>
            <w:tcMar>
              <w:top w:w="100" w:type="dxa"/>
              <w:bottom w:w="100" w:type="dxa"/>
            </w:tcMar>
            <w:vAlign w:val="center"/>
          </w:tcPr>
          <w:p w14:paraId="639EFD28"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Motivo del Informe</w:t>
            </w:r>
          </w:p>
        </w:tc>
      </w:tr>
      <w:tr w:rsidR="00B44469" w14:paraId="31B4A5AC"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1DABD11E"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1.0</w:t>
            </w:r>
          </w:p>
        </w:tc>
        <w:tc>
          <w:tcPr>
            <w:tcW w:w="1300" w:type="dxa"/>
            <w:tcBorders>
              <w:top w:val="single" w:sz="4" w:space="0" w:color="E0E0E0"/>
              <w:bottom w:val="single" w:sz="4" w:space="0" w:color="E0E0E0"/>
            </w:tcBorders>
            <w:shd w:val="clear" w:color="auto" w:fill="FFFFFF"/>
            <w:tcMar>
              <w:top w:w="80" w:type="dxa"/>
              <w:bottom w:w="80" w:type="dxa"/>
            </w:tcMar>
            <w:vAlign w:val="center"/>
          </w:tcPr>
          <w:p w14:paraId="63823C5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BACC, RFLV</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1652E58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053B22F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48B816F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15/07/2026</w:t>
            </w:r>
          </w:p>
        </w:tc>
        <w:tc>
          <w:tcPr>
            <w:tcW w:w="3600" w:type="dxa"/>
            <w:tcBorders>
              <w:top w:val="single" w:sz="4" w:space="0" w:color="E0E0E0"/>
              <w:bottom w:val="single" w:sz="4" w:space="0" w:color="E0E0E0"/>
            </w:tcBorders>
            <w:shd w:val="clear" w:color="auto" w:fill="FFFFFF"/>
            <w:tcMar>
              <w:top w:w="80" w:type="dxa"/>
              <w:bottom w:w="80" w:type="dxa"/>
            </w:tcMar>
            <w:vAlign w:val="center"/>
          </w:tcPr>
          <w:p w14:paraId="59551FD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Borrador inicial de consolidación de actividades y resultados del proyecto.</w:t>
            </w:r>
          </w:p>
        </w:tc>
      </w:tr>
      <w:tr w:rsidR="00B44469" w14:paraId="33AE26ED"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7A449464"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2.0</w:t>
            </w:r>
          </w:p>
        </w:tc>
        <w:tc>
          <w:tcPr>
            <w:tcW w:w="1300" w:type="dxa"/>
            <w:tcBorders>
              <w:top w:val="single" w:sz="4" w:space="0" w:color="E0E0E0"/>
              <w:bottom w:val="single" w:sz="4" w:space="0" w:color="E0E0E0"/>
            </w:tcBorders>
            <w:shd w:val="clear" w:color="auto" w:fill="F4F1E6"/>
            <w:tcMar>
              <w:top w:w="80" w:type="dxa"/>
              <w:bottom w:w="80" w:type="dxa"/>
            </w:tcMar>
            <w:vAlign w:val="center"/>
          </w:tcPr>
          <w:p w14:paraId="33FDC98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BACC, RFLV</w:t>
            </w:r>
          </w:p>
        </w:tc>
        <w:tc>
          <w:tcPr>
            <w:tcW w:w="1200" w:type="dxa"/>
            <w:tcBorders>
              <w:top w:val="single" w:sz="4" w:space="0" w:color="E0E0E0"/>
              <w:bottom w:val="single" w:sz="4" w:space="0" w:color="E0E0E0"/>
            </w:tcBorders>
            <w:shd w:val="clear" w:color="auto" w:fill="F4F1E6"/>
            <w:tcMar>
              <w:top w:w="80" w:type="dxa"/>
              <w:bottom w:w="80" w:type="dxa"/>
            </w:tcMar>
            <w:vAlign w:val="center"/>
          </w:tcPr>
          <w:p w14:paraId="2A28E3A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4F1E6"/>
            <w:tcMar>
              <w:top w:w="80" w:type="dxa"/>
              <w:bottom w:w="80" w:type="dxa"/>
            </w:tcMar>
            <w:vAlign w:val="center"/>
          </w:tcPr>
          <w:p w14:paraId="7DB1A267"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E0E0E0"/>
            </w:tcBorders>
            <w:shd w:val="clear" w:color="auto" w:fill="F4F1E6"/>
            <w:tcMar>
              <w:top w:w="80" w:type="dxa"/>
              <w:bottom w:w="80" w:type="dxa"/>
            </w:tcMar>
            <w:vAlign w:val="center"/>
          </w:tcPr>
          <w:p w14:paraId="22B0407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26/09/2026</w:t>
            </w:r>
          </w:p>
        </w:tc>
        <w:tc>
          <w:tcPr>
            <w:tcW w:w="3600" w:type="dxa"/>
            <w:tcBorders>
              <w:top w:val="single" w:sz="4" w:space="0" w:color="E0E0E0"/>
              <w:bottom w:val="single" w:sz="4" w:space="0" w:color="E0E0E0"/>
            </w:tcBorders>
            <w:shd w:val="clear" w:color="auto" w:fill="F4F1E6"/>
            <w:tcMar>
              <w:top w:w="80" w:type="dxa"/>
              <w:bottom w:w="80" w:type="dxa"/>
            </w:tcMar>
            <w:vAlign w:val="center"/>
          </w:tcPr>
          <w:p w14:paraId="5EA67A4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Informe intermedio ejecutivo con balance de requerimientos y catálogo de pruebas.</w:t>
            </w:r>
          </w:p>
        </w:tc>
      </w:tr>
      <w:tr w:rsidR="00B44469" w14:paraId="139B231D" w14:textId="77777777" w:rsidTr="00B44469">
        <w:trPr>
          <w:jc w:val="center"/>
        </w:trPr>
        <w:tc>
          <w:tcPr>
            <w:tcW w:w="900" w:type="dxa"/>
            <w:tcBorders>
              <w:top w:val="single" w:sz="4" w:space="0" w:color="E0E0E0"/>
              <w:bottom w:val="single" w:sz="4" w:space="0" w:color="D9D9D9"/>
            </w:tcBorders>
            <w:shd w:val="clear" w:color="auto" w:fill="FFFFFF"/>
            <w:tcMar>
              <w:top w:w="80" w:type="dxa"/>
              <w:bottom w:w="80" w:type="dxa"/>
            </w:tcMar>
            <w:vAlign w:val="center"/>
          </w:tcPr>
          <w:p w14:paraId="3B1814DC"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3.0</w:t>
            </w:r>
          </w:p>
        </w:tc>
        <w:tc>
          <w:tcPr>
            <w:tcW w:w="1300" w:type="dxa"/>
            <w:tcBorders>
              <w:top w:val="single" w:sz="4" w:space="0" w:color="E0E0E0"/>
              <w:bottom w:val="single" w:sz="4" w:space="0" w:color="D9D9D9"/>
            </w:tcBorders>
            <w:shd w:val="clear" w:color="auto" w:fill="FFFFFF"/>
            <w:tcMar>
              <w:top w:w="80" w:type="dxa"/>
              <w:bottom w:w="80" w:type="dxa"/>
            </w:tcMar>
            <w:vAlign w:val="center"/>
          </w:tcPr>
          <w:p w14:paraId="25E50FB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BACC, RFLV</w:t>
            </w:r>
          </w:p>
        </w:tc>
        <w:tc>
          <w:tcPr>
            <w:tcW w:w="1200" w:type="dxa"/>
            <w:tcBorders>
              <w:top w:val="single" w:sz="4" w:space="0" w:color="E0E0E0"/>
              <w:bottom w:val="single" w:sz="4" w:space="0" w:color="D9D9D9"/>
            </w:tcBorders>
            <w:shd w:val="clear" w:color="auto" w:fill="FFFFFF"/>
            <w:tcMar>
              <w:top w:w="80" w:type="dxa"/>
              <w:bottom w:w="80" w:type="dxa"/>
            </w:tcMar>
            <w:vAlign w:val="center"/>
          </w:tcPr>
          <w:p w14:paraId="5F97D5FC"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D9D9D9"/>
            </w:tcBorders>
            <w:shd w:val="clear" w:color="auto" w:fill="FFFFFF"/>
            <w:tcMar>
              <w:top w:w="80" w:type="dxa"/>
              <w:bottom w:w="80" w:type="dxa"/>
            </w:tcMar>
            <w:vAlign w:val="center"/>
          </w:tcPr>
          <w:p w14:paraId="5EF918D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REVA</w:t>
            </w:r>
          </w:p>
        </w:tc>
        <w:tc>
          <w:tcPr>
            <w:tcW w:w="1200" w:type="dxa"/>
            <w:tcBorders>
              <w:top w:val="single" w:sz="4" w:space="0" w:color="E0E0E0"/>
              <w:bottom w:val="single" w:sz="4" w:space="0" w:color="D9D9D9"/>
            </w:tcBorders>
            <w:shd w:val="clear" w:color="auto" w:fill="FFFFFF"/>
            <w:tcMar>
              <w:top w:w="80" w:type="dxa"/>
              <w:bottom w:w="80" w:type="dxa"/>
            </w:tcMar>
            <w:vAlign w:val="center"/>
          </w:tcPr>
          <w:p w14:paraId="153A9FF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28/09/2026</w:t>
            </w:r>
          </w:p>
        </w:tc>
        <w:tc>
          <w:tcPr>
            <w:tcW w:w="3600" w:type="dxa"/>
            <w:tcBorders>
              <w:top w:val="single" w:sz="4" w:space="0" w:color="E0E0E0"/>
              <w:bottom w:val="single" w:sz="4" w:space="0" w:color="D9D9D9"/>
            </w:tcBorders>
            <w:shd w:val="clear" w:color="auto" w:fill="FFFFFF"/>
            <w:tcMar>
              <w:top w:w="80" w:type="dxa"/>
              <w:bottom w:w="80" w:type="dxa"/>
            </w:tcMar>
            <w:vAlign w:val="center"/>
          </w:tcPr>
          <w:p w14:paraId="0518630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Informe Final definitivo con validación integral de construcción, pruebas de software y balance presupuestal.</w:t>
            </w:r>
          </w:p>
        </w:tc>
      </w:tr>
    </w:tbl>
    <w:p w14:paraId="419ECBC7" w14:textId="77777777" w:rsidR="00B44469" w:rsidRDefault="00B44469" w:rsidP="00B44469">
      <w:pPr>
        <w:spacing w:after="120" w:line="276" w:lineRule="auto"/>
        <w:jc w:val="both"/>
      </w:pPr>
    </w:p>
    <w:p w14:paraId="03FC6CA2" w14:textId="77777777" w:rsidR="00B44469" w:rsidRDefault="00B44469" w:rsidP="00B44469">
      <w:pPr>
        <w:spacing w:line="276" w:lineRule="auto"/>
        <w:rPr>
          <w:rFonts w:ascii="Times New Roman" w:hAnsi="Times New Roman" w:cs="Times New Roman"/>
          <w:b/>
          <w:color w:val="1E3A2B"/>
          <w:sz w:val="28"/>
        </w:rPr>
      </w:pPr>
      <w:r w:rsidRPr="00B44469">
        <w:rPr>
          <w:rFonts w:ascii="Times New Roman" w:hAnsi="Times New Roman" w:cs="Times New Roman"/>
          <w:b/>
          <w:color w:val="1E3A2B"/>
          <w:sz w:val="28"/>
        </w:rPr>
        <w:t>ÍNDICE GENERAL</w:t>
      </w:r>
    </w:p>
    <w:p w14:paraId="05E04671"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1. INFORMACIÓN GENERAL DEL PROYECTO</w:t>
      </w:r>
    </w:p>
    <w:p w14:paraId="07FB0A63"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1.1 Datos Académicos e Institucionales</w:t>
      </w:r>
    </w:p>
    <w:p w14:paraId="44CA2752"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1.2 Identificación del Proyecto y Razones Comerciales</w:t>
      </w:r>
    </w:p>
    <w:p w14:paraId="1A5346D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1.3 Misión, Visión y Principios del Proyecto</w:t>
      </w:r>
    </w:p>
    <w:p w14:paraId="07D1559D"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1.4 Asignación de Roles y Responsabilidades del Equipo de Ingeniería</w:t>
      </w:r>
    </w:p>
    <w:p w14:paraId="04CE21A9"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2. RESUMEN EJECUTIVO DE CIERRE DEL PROYECTO</w:t>
      </w:r>
    </w:p>
    <w:p w14:paraId="72EDF7A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2.1 Síntesis del Problema y de la Solución Obtenida</w:t>
      </w:r>
    </w:p>
    <w:p w14:paraId="2E42C8C4"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2.2 Principales Logros de Ingeniería y Grado de Cumplimiento</w:t>
      </w:r>
    </w:p>
    <w:p w14:paraId="531CCDDC"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2.3 Estado de Madurez del Producto de Software Entregado</w:t>
      </w:r>
    </w:p>
    <w:p w14:paraId="131255C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3. METODOLOGÍA DE DESARROLLO Y GESTIÓN DE PROYECTO</w:t>
      </w:r>
    </w:p>
    <w:p w14:paraId="41717980"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3.1 Marco Metodológico RUP Adaptado a Construcción de Software</w:t>
      </w:r>
    </w:p>
    <w:p w14:paraId="394F04E8"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3.2 Gestión de Requerimientos y Matriz de Trazabilidad</w:t>
      </w:r>
    </w:p>
    <w:p w14:paraId="277C1738"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3.3 Gestión de Configuración, Repositorio Git y Aseguramiento de Calidad</w:t>
      </w:r>
    </w:p>
    <w:p w14:paraId="5E937823"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4. DESARROLLO Y RESULTADOS POR FASES DEL CICLO DE VIDA</w:t>
      </w:r>
    </w:p>
    <w:p w14:paraId="5A74CAC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4.1 Fase de Inicio: Factibilidad (FD01), Visión (FD02) y Viabilidad Financiera</w:t>
      </w:r>
    </w:p>
    <w:p w14:paraId="4D941BFE"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4.2 Fase de Elaboración: SRS v3.0 (FD03), SAD v2.1 (FD04) y Modelado 4+1</w:t>
      </w:r>
    </w:p>
    <w:p w14:paraId="4602C819"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4.3 Fase de Construcción: Arquitectura Implementada y Código Fuente (orbika-app)</w:t>
      </w:r>
    </w:p>
    <w:p w14:paraId="73C3455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4.4 Fase de Transición y Pruebas: Catálogo de 63 Pruebas y Resultados</w:t>
      </w:r>
    </w:p>
    <w:p w14:paraId="254807C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5. MATRIZ DE CUMPLIMIENTO Y TRAZABILIDAD DE REQUERIMIENTOS</w:t>
      </w:r>
    </w:p>
    <w:p w14:paraId="575F29CB"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6. EVALUACIÓN ECONÓMICA Y PRESUPUESTAL EJECUTADA</w:t>
      </w:r>
    </w:p>
    <w:p w14:paraId="78D33C0A"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lastRenderedPageBreak/>
        <w:t xml:space="preserve">    6.1 Comparativa de Presupuesto Planificado vs. Ejecutado Real</w:t>
      </w:r>
    </w:p>
    <w:p w14:paraId="5AB35008"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6.2 Análisis de Indicadores Financieros de Retorno</w:t>
      </w:r>
    </w:p>
    <w:p w14:paraId="2C121B40"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7. ANÁLISIS DE RIESGOS Y LECCIONES APRENDIDAS</w:t>
      </w:r>
    </w:p>
    <w:p w14:paraId="4DAC1FA5"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7.1 Matriz de Riesgos Iniciales vs. Mitigación Final Lograda</w:t>
      </w:r>
    </w:p>
    <w:p w14:paraId="5F46DC06"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 xml:space="preserve">    7.2 Lecciones Aprendidas en Ingeniería y Trabajo de Campo</w:t>
      </w:r>
    </w:p>
    <w:p w14:paraId="3C73BF47"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8. IMPACTO SOCIAL, ECONÓMICO Y AMBIENTAL LOGRADO EN TACNA</w:t>
      </w:r>
    </w:p>
    <w:p w14:paraId="3F7DCC40" w14:textId="77777777" w:rsidR="00B44469" w:rsidRPr="00B44469" w:rsidRDefault="00B44469" w:rsidP="00B44469">
      <w:pPr>
        <w:spacing w:line="276" w:lineRule="auto"/>
        <w:rPr>
          <w:rFonts w:ascii="Times New Roman" w:hAnsi="Times New Roman" w:cs="Times New Roman"/>
          <w:color w:val="222222"/>
          <w:sz w:val="20"/>
        </w:rPr>
      </w:pPr>
      <w:r w:rsidRPr="00B44469">
        <w:rPr>
          <w:rFonts w:ascii="Times New Roman" w:hAnsi="Times New Roman" w:cs="Times New Roman"/>
          <w:color w:val="222222"/>
          <w:sz w:val="20"/>
        </w:rPr>
        <w:t>9. CONCLUSIONES Y RECOMENDACIONES</w:t>
      </w:r>
    </w:p>
    <w:p w14:paraId="58119BB3" w14:textId="77777777" w:rsidR="00B44469" w:rsidRDefault="00B44469" w:rsidP="00B44469">
      <w:pPr>
        <w:spacing w:after="280" w:line="276" w:lineRule="auto"/>
        <w:rPr>
          <w:rFonts w:ascii="Times New Roman" w:hAnsi="Times New Roman" w:cs="Times New Roman"/>
          <w:color w:val="222222"/>
          <w:sz w:val="20"/>
        </w:rPr>
      </w:pPr>
      <w:r w:rsidRPr="00B44469">
        <w:rPr>
          <w:rFonts w:ascii="Times New Roman" w:hAnsi="Times New Roman" w:cs="Times New Roman"/>
          <w:color w:val="222222"/>
          <w:sz w:val="20"/>
        </w:rPr>
        <w:t>10. REFERENCIAS BIBLIOGRÁFICAS Y ANEXOS TÉCNICOS</w:t>
      </w:r>
    </w:p>
    <w:p w14:paraId="368F03CF" w14:textId="77777777" w:rsidR="00B44469" w:rsidRDefault="00B44469">
      <w:r>
        <w:br w:type="page"/>
      </w:r>
    </w:p>
    <w:p w14:paraId="2791F79D" w14:textId="77777777" w:rsidR="00B44469" w:rsidRDefault="00B44469" w:rsidP="00B44469">
      <w:pPr>
        <w:spacing w:line="276" w:lineRule="auto"/>
        <w:rPr>
          <w:rFonts w:ascii="Times New Roman" w:hAnsi="Times New Roman" w:cs="Times New Roman"/>
          <w:b/>
          <w:color w:val="1E3A2B"/>
          <w:sz w:val="28"/>
        </w:rPr>
      </w:pPr>
      <w:r w:rsidRPr="00B44469">
        <w:rPr>
          <w:rFonts w:ascii="Times New Roman" w:hAnsi="Times New Roman" w:cs="Times New Roman"/>
          <w:b/>
          <w:color w:val="1E3A2B"/>
          <w:sz w:val="28"/>
        </w:rPr>
        <w:lastRenderedPageBreak/>
        <w:t>1. INFORMACIÓN GENERAL DEL PROYECTO</w:t>
      </w:r>
    </w:p>
    <w:p w14:paraId="25D50C97" w14:textId="77777777" w:rsidR="00B44469" w:rsidRDefault="00B44469" w:rsidP="00B44469">
      <w:pPr>
        <w:spacing w:after="100" w:line="276" w:lineRule="auto"/>
        <w:rPr>
          <w:rFonts w:ascii="Times New Roman" w:hAnsi="Times New Roman" w:cs="Times New Roman"/>
          <w:b/>
          <w:color w:val="1E3A2B"/>
          <w:sz w:val="25"/>
        </w:rPr>
      </w:pPr>
      <w:r w:rsidRPr="00B44469">
        <w:rPr>
          <w:rFonts w:ascii="Times New Roman" w:hAnsi="Times New Roman" w:cs="Times New Roman"/>
          <w:b/>
          <w:color w:val="1E3A2B"/>
          <w:sz w:val="25"/>
        </w:rPr>
        <w:t>1.1 Datos Académicos e Institucionales</w:t>
      </w:r>
    </w:p>
    <w:p w14:paraId="7950CC6D"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Institución Educativa: Universidad Privada de Tacna (UPT)</w:t>
      </w:r>
    </w:p>
    <w:p w14:paraId="2BBF6E0E"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Facultad: Facultad de Ingeniería</w:t>
      </w:r>
    </w:p>
    <w:p w14:paraId="69EDDDAF"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Escuela Profesional: Escuela Profesional de Ingeniería de Sistemas (EPIS)</w:t>
      </w:r>
    </w:p>
    <w:p w14:paraId="655E712B"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Asignatura: Construcción de Software I (Código: SI-083)</w:t>
      </w:r>
    </w:p>
    <w:p w14:paraId="73285C5B"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Docente Evaluador / Asesor Metodológico: Mag. Ricardo Eduardo Valcárcel Alvarado</w:t>
      </w:r>
    </w:p>
    <w:p w14:paraId="6E6BF1D0"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Semestre Académico: 2026-I / 2026-II</w:t>
      </w:r>
    </w:p>
    <w:p w14:paraId="3E28A1FD"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1.2 Identificación del Proyecto y Razones Comerciales</w:t>
      </w:r>
    </w:p>
    <w:p w14:paraId="37DB3044"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proyecto lleva como título formal «Plataforma web para la comercialización y revalorización de productos perecibles orientada al consumo sostenible en la provincia de Tacna», identificado comercialmente bajo la marca «ÓrbiKa». El proyecto está estructurado para constituirse formalmente como «ÓrbiKa S.A.C.» en fases comerciales avanzadas.</w:t>
      </w:r>
    </w:p>
    <w:p w14:paraId="6ED773DF"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1.3 Misión, Visión y Principios del Proyecto</w:t>
      </w:r>
    </w:p>
    <w:p w14:paraId="5A8523AD"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Misión: Conectar a vendedores y consumidores de la provincia de Tacna a través de una plataforma digital confiable y fácil de usar, que facilite el acceso a alimentos de calidad a precios accesibles, reduzca las pérdidas económicas de los negocios locales y contribuya activamente a la disminución del desperdicio alimentario.</w:t>
      </w:r>
    </w:p>
    <w:p w14:paraId="40B692D1"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Visión: Ser, para el año 2030, la plataforma digital líder en el sur del Perú para la comercialización de productos perecibles próximos a vencer, reconocida como referente regional en la reducción del desperdicio de alimentos y la promoción del consumo responsable.</w:t>
      </w:r>
    </w:p>
    <w:p w14:paraId="372B3624"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Principios Guía: Sostenibilidad ambiental, equidad económica, accesibilidad e inclusión tecnológica para comerciantes populares y transparencia transaccional.</w:t>
      </w:r>
    </w:p>
    <w:p w14:paraId="0FC8D13B"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1.4 Asignación de Roles y Responsabilidades del Equipo de Ingeniería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200"/>
        <w:gridCol w:w="1200"/>
        <w:gridCol w:w="2200"/>
        <w:gridCol w:w="3800"/>
      </w:tblGrid>
      <w:tr w:rsidR="00B44469" w14:paraId="30F64929" w14:textId="77777777" w:rsidTr="00B44469">
        <w:trPr>
          <w:jc w:val="center"/>
        </w:trPr>
        <w:tc>
          <w:tcPr>
            <w:tcW w:w="2200" w:type="dxa"/>
            <w:tcBorders>
              <w:top w:val="single" w:sz="4" w:space="0" w:color="D9D9D9"/>
              <w:bottom w:val="single" w:sz="4" w:space="0" w:color="E0E0E0"/>
            </w:tcBorders>
            <w:shd w:val="clear" w:color="auto" w:fill="1E3A2B"/>
            <w:tcMar>
              <w:top w:w="100" w:type="dxa"/>
              <w:bottom w:w="100" w:type="dxa"/>
            </w:tcMar>
            <w:vAlign w:val="center"/>
          </w:tcPr>
          <w:p w14:paraId="260F8938"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Integrante del Equipo</w:t>
            </w:r>
          </w:p>
        </w:tc>
        <w:tc>
          <w:tcPr>
            <w:tcW w:w="1200" w:type="dxa"/>
            <w:tcBorders>
              <w:top w:val="single" w:sz="4" w:space="0" w:color="D9D9D9"/>
              <w:bottom w:val="single" w:sz="4" w:space="0" w:color="E0E0E0"/>
            </w:tcBorders>
            <w:shd w:val="clear" w:color="auto" w:fill="1E3A2B"/>
            <w:tcMar>
              <w:top w:w="100" w:type="dxa"/>
              <w:bottom w:w="100" w:type="dxa"/>
            </w:tcMar>
            <w:vAlign w:val="center"/>
          </w:tcPr>
          <w:p w14:paraId="3D0FF971"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Código UPT</w:t>
            </w:r>
          </w:p>
        </w:tc>
        <w:tc>
          <w:tcPr>
            <w:tcW w:w="2200" w:type="dxa"/>
            <w:tcBorders>
              <w:top w:val="single" w:sz="4" w:space="0" w:color="D9D9D9"/>
              <w:bottom w:val="single" w:sz="4" w:space="0" w:color="E0E0E0"/>
            </w:tcBorders>
            <w:shd w:val="clear" w:color="auto" w:fill="1E3A2B"/>
            <w:tcMar>
              <w:top w:w="100" w:type="dxa"/>
              <w:bottom w:w="100" w:type="dxa"/>
            </w:tcMar>
            <w:vAlign w:val="center"/>
          </w:tcPr>
          <w:p w14:paraId="28E1448F"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Rol Principal Asignado</w:t>
            </w:r>
          </w:p>
        </w:tc>
        <w:tc>
          <w:tcPr>
            <w:tcW w:w="3800" w:type="dxa"/>
            <w:tcBorders>
              <w:top w:val="single" w:sz="4" w:space="0" w:color="D9D9D9"/>
              <w:bottom w:val="single" w:sz="4" w:space="0" w:color="E0E0E0"/>
            </w:tcBorders>
            <w:shd w:val="clear" w:color="auto" w:fill="1E3A2B"/>
            <w:tcMar>
              <w:top w:w="100" w:type="dxa"/>
              <w:bottom w:w="100" w:type="dxa"/>
            </w:tcMar>
            <w:vAlign w:val="center"/>
          </w:tcPr>
          <w:p w14:paraId="650FF9FD"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Entregables y Responsabilidades Clave</w:t>
            </w:r>
          </w:p>
        </w:tc>
      </w:tr>
      <w:tr w:rsidR="00B44469" w14:paraId="44F99B23" w14:textId="77777777" w:rsidTr="00B44469">
        <w:trPr>
          <w:jc w:val="center"/>
        </w:trPr>
        <w:tc>
          <w:tcPr>
            <w:tcW w:w="2200" w:type="dxa"/>
            <w:tcBorders>
              <w:top w:val="single" w:sz="4" w:space="0" w:color="E0E0E0"/>
              <w:bottom w:val="single" w:sz="4" w:space="0" w:color="E0E0E0"/>
            </w:tcBorders>
            <w:shd w:val="clear" w:color="auto" w:fill="FFFFFF"/>
            <w:tcMar>
              <w:top w:w="80" w:type="dxa"/>
              <w:bottom w:w="80" w:type="dxa"/>
            </w:tcMar>
            <w:vAlign w:val="center"/>
          </w:tcPr>
          <w:p w14:paraId="73617319"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Brant Antony Chata Choque</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7C8971AD"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2020067577</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3FDAF3C2"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Líder de Análisis y Calidad Funcional</w:t>
            </w:r>
          </w:p>
        </w:tc>
        <w:tc>
          <w:tcPr>
            <w:tcW w:w="3800" w:type="dxa"/>
            <w:tcBorders>
              <w:top w:val="single" w:sz="4" w:space="0" w:color="E0E0E0"/>
              <w:bottom w:val="single" w:sz="4" w:space="0" w:color="E0E0E0"/>
            </w:tcBorders>
            <w:shd w:val="clear" w:color="auto" w:fill="FFFFFF"/>
            <w:tcMar>
              <w:top w:w="80" w:type="dxa"/>
              <w:bottom w:w="80" w:type="dxa"/>
            </w:tcMar>
            <w:vAlign w:val="center"/>
          </w:tcPr>
          <w:p w14:paraId="4DC62155"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Elaboración del Estudio de Factibilidad (FD01), especificación del SRS (FD03), diseño del Catálogo de 63 Pruebas y validación funcional.</w:t>
            </w:r>
          </w:p>
        </w:tc>
      </w:tr>
      <w:tr w:rsidR="00B44469" w14:paraId="1F80B617" w14:textId="77777777" w:rsidTr="00B44469">
        <w:trPr>
          <w:jc w:val="center"/>
        </w:trPr>
        <w:tc>
          <w:tcPr>
            <w:tcW w:w="2200" w:type="dxa"/>
            <w:tcBorders>
              <w:top w:val="single" w:sz="4" w:space="0" w:color="E0E0E0"/>
              <w:bottom w:val="single" w:sz="4" w:space="0" w:color="E0E0E0"/>
            </w:tcBorders>
            <w:shd w:val="clear" w:color="auto" w:fill="F4F1E6"/>
            <w:tcMar>
              <w:top w:w="80" w:type="dxa"/>
              <w:bottom w:w="80" w:type="dxa"/>
            </w:tcMar>
            <w:vAlign w:val="center"/>
          </w:tcPr>
          <w:p w14:paraId="36C15EB7"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Renzo Fernando Loyola Vilca</w:t>
            </w:r>
          </w:p>
        </w:tc>
        <w:tc>
          <w:tcPr>
            <w:tcW w:w="1200" w:type="dxa"/>
            <w:tcBorders>
              <w:top w:val="single" w:sz="4" w:space="0" w:color="E0E0E0"/>
              <w:bottom w:val="single" w:sz="4" w:space="0" w:color="E0E0E0"/>
            </w:tcBorders>
            <w:shd w:val="clear" w:color="auto" w:fill="F4F1E6"/>
            <w:tcMar>
              <w:top w:w="80" w:type="dxa"/>
              <w:bottom w:w="80" w:type="dxa"/>
            </w:tcMar>
            <w:vAlign w:val="center"/>
          </w:tcPr>
          <w:p w14:paraId="335B5385"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2021072615</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519FE244"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Líder de Arquitectura y Construcción</w:t>
            </w:r>
          </w:p>
        </w:tc>
        <w:tc>
          <w:tcPr>
            <w:tcW w:w="3800" w:type="dxa"/>
            <w:tcBorders>
              <w:top w:val="single" w:sz="4" w:space="0" w:color="E0E0E0"/>
              <w:bottom w:val="single" w:sz="4" w:space="0" w:color="E0E0E0"/>
            </w:tcBorders>
            <w:shd w:val="clear" w:color="auto" w:fill="F4F1E6"/>
            <w:tcMar>
              <w:top w:w="80" w:type="dxa"/>
              <w:bottom w:w="80" w:type="dxa"/>
            </w:tcMar>
            <w:vAlign w:val="center"/>
          </w:tcPr>
          <w:p w14:paraId="7DB83972"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Modelado de vistas 4+1 (SAD / FD04), diseño de esquema relacional PostgreSQL/Supabase, implementación frontend/backend y testing automatizado.</w:t>
            </w:r>
          </w:p>
        </w:tc>
      </w:tr>
      <w:tr w:rsidR="00B44469" w14:paraId="7AF4CC47" w14:textId="77777777" w:rsidTr="00B44469">
        <w:trPr>
          <w:jc w:val="center"/>
        </w:trPr>
        <w:tc>
          <w:tcPr>
            <w:tcW w:w="2200" w:type="dxa"/>
            <w:tcBorders>
              <w:top w:val="single" w:sz="4" w:space="0" w:color="E0E0E0"/>
              <w:bottom w:val="single" w:sz="4" w:space="0" w:color="D9D9D9"/>
            </w:tcBorders>
            <w:shd w:val="clear" w:color="auto" w:fill="FFFFFF"/>
            <w:tcMar>
              <w:top w:w="80" w:type="dxa"/>
              <w:bottom w:w="80" w:type="dxa"/>
            </w:tcMar>
            <w:vAlign w:val="center"/>
          </w:tcPr>
          <w:p w14:paraId="27D64495"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Mag. Ricardo Valcárcel Alvarado</w:t>
            </w:r>
          </w:p>
        </w:tc>
        <w:tc>
          <w:tcPr>
            <w:tcW w:w="1200" w:type="dxa"/>
            <w:tcBorders>
              <w:top w:val="single" w:sz="4" w:space="0" w:color="E0E0E0"/>
              <w:bottom w:val="single" w:sz="4" w:space="0" w:color="D9D9D9"/>
            </w:tcBorders>
            <w:shd w:val="clear" w:color="auto" w:fill="FFFFFF"/>
            <w:tcMar>
              <w:top w:w="80" w:type="dxa"/>
              <w:bottom w:w="80" w:type="dxa"/>
            </w:tcMar>
            <w:vAlign w:val="center"/>
          </w:tcPr>
          <w:p w14:paraId="6211D2C1"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Docente</w:t>
            </w:r>
          </w:p>
        </w:tc>
        <w:tc>
          <w:tcPr>
            <w:tcW w:w="2200" w:type="dxa"/>
            <w:tcBorders>
              <w:top w:val="single" w:sz="4" w:space="0" w:color="E0E0E0"/>
              <w:bottom w:val="single" w:sz="4" w:space="0" w:color="D9D9D9"/>
            </w:tcBorders>
            <w:shd w:val="clear" w:color="auto" w:fill="FFFFFF"/>
            <w:tcMar>
              <w:top w:w="80" w:type="dxa"/>
              <w:bottom w:w="80" w:type="dxa"/>
            </w:tcMar>
            <w:vAlign w:val="center"/>
          </w:tcPr>
          <w:p w14:paraId="60CF3304"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Asesor Metodológico y Evaluador</w:t>
            </w:r>
          </w:p>
        </w:tc>
        <w:tc>
          <w:tcPr>
            <w:tcW w:w="3800" w:type="dxa"/>
            <w:tcBorders>
              <w:top w:val="single" w:sz="4" w:space="0" w:color="E0E0E0"/>
              <w:bottom w:val="single" w:sz="4" w:space="0" w:color="D9D9D9"/>
            </w:tcBorders>
            <w:shd w:val="clear" w:color="auto" w:fill="FFFFFF"/>
            <w:tcMar>
              <w:top w:w="80" w:type="dxa"/>
              <w:bottom w:w="80" w:type="dxa"/>
            </w:tcMar>
            <w:vAlign w:val="center"/>
          </w:tcPr>
          <w:p w14:paraId="07E518CB"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Supervisión de calidad metodológica, aprobación de entregables RUP, validación de trazabilidad ingenieril y dictamen de curso.</w:t>
            </w:r>
          </w:p>
        </w:tc>
      </w:tr>
    </w:tbl>
    <w:p w14:paraId="1C4DCA43" w14:textId="77777777" w:rsidR="00B44469" w:rsidRDefault="00B44469" w:rsidP="00B44469">
      <w:pPr>
        <w:spacing w:after="120" w:line="276" w:lineRule="auto"/>
        <w:ind w:left="360"/>
      </w:pPr>
    </w:p>
    <w:p w14:paraId="5659E039" w14:textId="77777777" w:rsidR="004073B0" w:rsidRDefault="004073B0" w:rsidP="00B44469">
      <w:pPr>
        <w:spacing w:line="276" w:lineRule="auto"/>
        <w:ind w:left="360"/>
        <w:rPr>
          <w:rFonts w:ascii="Times New Roman" w:hAnsi="Times New Roman" w:cs="Times New Roman"/>
          <w:b/>
          <w:color w:val="1E3A2B"/>
          <w:sz w:val="28"/>
        </w:rPr>
      </w:pPr>
    </w:p>
    <w:p w14:paraId="6F553997" w14:textId="770D5A9B"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lastRenderedPageBreak/>
        <w:t>2. RESUMEN EJECUTIVO DE CIERRE DEL PROYECTO</w:t>
      </w:r>
    </w:p>
    <w:p w14:paraId="338F3A1C"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2.1 Síntesis del Problema y de la Solución Obtenida</w:t>
      </w:r>
    </w:p>
    <w:p w14:paraId="18B51F83"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La merma de productos perecibles (frutas, verduras, lácteos, panadería, carnes y comida preparada) en los centros de abastos de Tacna (Mercado Mayorista Grau, Mercado Central, Ciudad Nueva) representaba diariamente pérdidas económicas de hasta 15% para comerciantes locales y la acumulación evitable de residuos orgánicos urbanos. Frente a ello, se construyó ÓrbiKa, una plataforma web responsive que centraliza la oferta, aplica descuentos progresivos asistidos, permite la reserva atómica de inventario y visibiliza indicadores tangibles de impacto ecológico y social.</w:t>
      </w:r>
    </w:p>
    <w:p w14:paraId="7786A82C"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2.2 Principales Logros de Ingeniería y Grado de Cumplimiento</w:t>
      </w:r>
    </w:p>
    <w:p w14:paraId="03EE9A0C"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Durante el ciclo académico se alcanzó el 100% de los entregables normativos planificados en la metodología curricular:</w:t>
      </w:r>
    </w:p>
    <w:p w14:paraId="73986DC9"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Consolidación de los 6 Formatos Oficiales (FD01 Factibilidad, FD02 Visión, FD03 SRS, FD04 SAD, FD05 Informe Final, FD06 Propuesta Final).</w:t>
      </w:r>
    </w:p>
    <w:p w14:paraId="39B8B766"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Modelado formal en UML: Diagramas de Casos de Uso, Actividades, Secuencia, Clases, Paquetes y Entidad-Relación totalmente validados y concordantes.</w:t>
      </w:r>
    </w:p>
    <w:p w14:paraId="7E6095CC"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Construcción del repositorio integral de software (orbika-app) con frontend en React 18 SPA, backend en Express / Node.js y base de datos PostgreSQL alojada en Supabase con Row Level Security (RLS).</w:t>
      </w:r>
    </w:p>
    <w:p w14:paraId="5A5FB9D4"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Diseño y ejecución del Catálogo de Pruebas de 63 casos de verificación (21 unitarias, 21 funcionales y 21 de aceptación) con 100% de cobertura sobre los 21 casos de uso.</w:t>
      </w:r>
    </w:p>
    <w:p w14:paraId="2568EAA3"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2.3 Estado de Madurez del Producto de Software Entregado</w:t>
      </w:r>
    </w:p>
    <w:p w14:paraId="44FE22EA"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sistema se entrega en versión Release Pre-v1.0.0 (MVP Operativo Completo). El núcleo transaccional (CU-01 Registrar usuario, CU-02 Iniciar sesión, CU-03 Buscar productos, CU-04 Ver detalle, CU-05 Comprar producto, CU-06 Calificar transacción, CU-07 Publicar producto, CU-08 Mis pedidos, CU-13 Recuperar contraseña y CU-17 Cancelar pedido) se encuentra funcionando de extremo a extremo, y los 11 casos de uso de gestión complementaria se encuentran completamente desacoplados y respaldados en el modelo de base de datos migrado.</w:t>
      </w:r>
    </w:p>
    <w:p w14:paraId="648E5195"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3. METODOLOGÍA DE DESARROLLO Y GESTIÓN DE PROYECTO</w:t>
      </w:r>
    </w:p>
    <w:p w14:paraId="42DCB485"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3.1 Marco Metodológico RUP Adaptado a Construcción de Software</w:t>
      </w:r>
    </w:p>
    <w:p w14:paraId="280621AB"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Se adoptó el proceso unificado Rational Unified Process (RUP), estructurado en cuatro fases iterativas e incrementales orientadas a mitigar riesgos de forma temprana:</w:t>
      </w:r>
    </w:p>
    <w:p w14:paraId="0E465E50"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Fase de Inicio (Semanas 1 a 4): Definición de la oportunidad, viabilidad multidimensional (FD01) y Documento de Visión (FD02).</w:t>
      </w:r>
    </w:p>
    <w:p w14:paraId="3C9CD796"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Fase de Elaboración (Semanas 5 a 12): Especificación rigurosa de 21 requerimientos funcionales en el SRS (FD03), diseño arquitectónico en 4+1 vistas en el SAD (FD04) y modelado de datos.</w:t>
      </w:r>
    </w:p>
    <w:p w14:paraId="68077BFE"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Fase de Construcción (Semanas 13 a 18): Codificación del frontend SPA, endpoints REST de la API, persistencia en Supabase, migraciones SQL y pruebas unitarias/funcionales.</w:t>
      </w:r>
    </w:p>
    <w:p w14:paraId="022CABB3"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Fase de Transición (Semanas 19 a 20): Ejecución de pruebas de aceptación en entorno Beta, refinamiento de interfaces de usuario, consolidación del Informe Final (FD05) y formulación de la Propuesta Final (FD06).</w:t>
      </w:r>
    </w:p>
    <w:p w14:paraId="06C39F23"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3.2 Gestión de Requerimientos y Matriz de Trazabilidad</w:t>
      </w:r>
    </w:p>
    <w:p w14:paraId="19BCC288"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lastRenderedPageBreak/>
        <w:t>Cada requerimiento funcional (RF-01 a RF-21) cuenta con una correlación directa y biunívoca con un caso de uso (CU-01 a CU-21), clases de dominio, endpoints de API y casos de prueba formales, garantizando una trazabilidad perfecta sin brechas funcionales ni código huérfano.</w:t>
      </w:r>
    </w:p>
    <w:p w14:paraId="797FAA71"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3.3 Gestión de Configuración, Repositorio Git y Aseguramiento de Calidad</w:t>
      </w:r>
    </w:p>
    <w:p w14:paraId="31BABA35"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control de versiones se administró mediante Git y GitHub utilizando la convención Gitflow (ramas main, develop y feature branches). La calidad del código se aseguró mediante linters (ESLint), formateo estricto y pruebas continuas sobre los controladores y servicios.</w:t>
      </w:r>
    </w:p>
    <w:p w14:paraId="63865CF1"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4. DESARROLLO Y RESULTADOS POR FASES DEL CICLO DE VIDA</w:t>
      </w:r>
    </w:p>
    <w:p w14:paraId="34A873A6"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4.1 Fase de Inicio: Factibilidad y Visión</w:t>
      </w:r>
    </w:p>
    <w:p w14:paraId="3D6988F0"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Estudio de Factibilidad (FD01) determinó la viabilidad en sus seis dimensiones cardinales. Económicamente, se proyectó una inversión inicial de S/ 16,773.16 para 20 semanas de trabajo. Los indicadores financieros arrojaron un VAN de S/ 17,126.60 (a una tasa de descuento del 12%), una TIR del 50.3%, una relación Beneficio/Costo de 1.55 y un periodo de recupero de la inversión de 1 año y 11 meses. El Documento de Visión (FD02) delimitó el problema en los mercados locales y fijó la posición estratégica frente a canales informales.</w:t>
      </w:r>
    </w:p>
    <w:p w14:paraId="14B72CAB"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4.2 Fase de Elaboración: SRS y SAD</w:t>
      </w:r>
    </w:p>
    <w:p w14:paraId="5239488E"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La fase culminó con dos pilares de ingeniería:</w:t>
      </w:r>
    </w:p>
    <w:p w14:paraId="7AA13E68"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SRS v3.0 (FD03): Consolidó 21 Requerimientos Funcionales, 8 Requerimientos No Funcionales, 11 Reglas de Negocio de concordancia y 21 narrativas completas de casos de uso estructuradas en tablas con precondiciones, flujo principal, flujos alternos y postcondiciones.</w:t>
      </w:r>
    </w:p>
    <w:p w14:paraId="16E41F49"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SAD v2.1 (FD04): Representó formalmente el sistema bajo las Vistas 4+1 de Kruchten: Vista de Casos de Uso, Vista Lógica (subsistemas, secuencia, clases y base de datos relacional), Vista de Implementación (componentes y código fuente), Vista de Procesos (ciclo de vida de pedidos) y Vista de Despliegue (arquitectura de hosting cloud en Render y Supabase).</w:t>
      </w:r>
    </w:p>
    <w:p w14:paraId="4890DE9A"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4.3 Fase de Construcción: Arquitectura y Código Fuente (orbika-app)</w:t>
      </w:r>
    </w:p>
    <w:p w14:paraId="78B8A4CA"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La construcción física del sistema consolidó el siguiente ecosistema tecnológico:</w:t>
      </w:r>
    </w:p>
    <w:p w14:paraId="5E96DA55"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Frontend SPA: Desarrollado en React 18 con Vite y Tailwind CSS, ofreciendo diseño adaptativo optimizado para dispositivos móviles y computadoras de escritorio.</w:t>
      </w:r>
    </w:p>
    <w:p w14:paraId="5C42DFF2"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Backend API REST: Construido sobre Node.js y Express con arquitectura en 3 capas (Rutas, Controladores y Servicios), implementando autenticación JWT con bcrypt.</w:t>
      </w:r>
    </w:p>
    <w:p w14:paraId="0C96246E"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Base de Datos y Seguridad: Esquema relacional en PostgreSQL alojado en Supabase (</w:t>
      </w:r>
      <w:r w:rsidRPr="00B44469">
        <w:rPr>
          <w:rFonts w:ascii="Times New Roman" w:hAnsi="Times New Roman" w:cs="Times New Roman"/>
          <w:color w:val="111111"/>
          <w:sz w:val="21"/>
        </w:rPr>
        <w:pgNum/>
      </w:r>
      <w:r w:rsidRPr="00B44469">
        <w:rPr>
          <w:rFonts w:ascii="Times New Roman" w:hAnsi="Times New Roman" w:cs="Times New Roman"/>
          <w:color w:val="111111"/>
          <w:sz w:val="21"/>
        </w:rPr>
        <w:t>01_init_schema.sql y seed.sql), incorporando Row Level Security (RLS) y transacciones atómicas de reserva de stock.</w:t>
      </w:r>
    </w:p>
    <w:p w14:paraId="77003772"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4.4 Fase de Transición y Pruebas: Catálogo de 63 Pruebas</w:t>
      </w:r>
    </w:p>
    <w:p w14:paraId="5E5C060D"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aseguramiento de calidad se sustentó en un Catálogo de Pruebas riguroso compuesto por 63 casos de verificación:</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000"/>
        <w:gridCol w:w="1400"/>
        <w:gridCol w:w="4000"/>
        <w:gridCol w:w="2000"/>
      </w:tblGrid>
      <w:tr w:rsidR="00B44469" w14:paraId="6B1E3435" w14:textId="77777777" w:rsidTr="00B44469">
        <w:trPr>
          <w:jc w:val="center"/>
        </w:trPr>
        <w:tc>
          <w:tcPr>
            <w:tcW w:w="2000" w:type="dxa"/>
            <w:tcBorders>
              <w:top w:val="single" w:sz="4" w:space="0" w:color="D9D9D9"/>
              <w:bottom w:val="single" w:sz="4" w:space="0" w:color="E0E0E0"/>
            </w:tcBorders>
            <w:shd w:val="clear" w:color="auto" w:fill="1E3A2B"/>
            <w:tcMar>
              <w:top w:w="100" w:type="dxa"/>
              <w:bottom w:w="100" w:type="dxa"/>
            </w:tcMar>
            <w:vAlign w:val="center"/>
          </w:tcPr>
          <w:p w14:paraId="0B610175"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Tipo de Prueba</w:t>
            </w:r>
          </w:p>
        </w:tc>
        <w:tc>
          <w:tcPr>
            <w:tcW w:w="1400" w:type="dxa"/>
            <w:tcBorders>
              <w:top w:val="single" w:sz="4" w:space="0" w:color="D9D9D9"/>
              <w:bottom w:val="single" w:sz="4" w:space="0" w:color="E0E0E0"/>
            </w:tcBorders>
            <w:shd w:val="clear" w:color="auto" w:fill="1E3A2B"/>
            <w:tcMar>
              <w:top w:w="100" w:type="dxa"/>
              <w:bottom w:w="100" w:type="dxa"/>
            </w:tcMar>
            <w:vAlign w:val="center"/>
          </w:tcPr>
          <w:p w14:paraId="2381AC17"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Cantidad de Casos</w:t>
            </w:r>
          </w:p>
        </w:tc>
        <w:tc>
          <w:tcPr>
            <w:tcW w:w="4000" w:type="dxa"/>
            <w:tcBorders>
              <w:top w:val="single" w:sz="4" w:space="0" w:color="D9D9D9"/>
              <w:bottom w:val="single" w:sz="4" w:space="0" w:color="E0E0E0"/>
            </w:tcBorders>
            <w:shd w:val="clear" w:color="auto" w:fill="1E3A2B"/>
            <w:tcMar>
              <w:top w:w="100" w:type="dxa"/>
              <w:bottom w:w="100" w:type="dxa"/>
            </w:tcMar>
            <w:vAlign w:val="center"/>
          </w:tcPr>
          <w:p w14:paraId="40B3A5E1"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Objetivo / Nivel de Verificación</w:t>
            </w:r>
          </w:p>
        </w:tc>
        <w:tc>
          <w:tcPr>
            <w:tcW w:w="2000" w:type="dxa"/>
            <w:tcBorders>
              <w:top w:val="single" w:sz="4" w:space="0" w:color="D9D9D9"/>
              <w:bottom w:val="single" w:sz="4" w:space="0" w:color="E0E0E0"/>
            </w:tcBorders>
            <w:shd w:val="clear" w:color="auto" w:fill="1E3A2B"/>
            <w:tcMar>
              <w:top w:w="100" w:type="dxa"/>
              <w:bottom w:w="100" w:type="dxa"/>
            </w:tcMar>
            <w:vAlign w:val="center"/>
          </w:tcPr>
          <w:p w14:paraId="46EF7311"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Resultado Obtenido</w:t>
            </w:r>
          </w:p>
        </w:tc>
      </w:tr>
      <w:tr w:rsidR="00B44469" w14:paraId="7CBC1557" w14:textId="77777777" w:rsidTr="00B44469">
        <w:trPr>
          <w:jc w:val="center"/>
        </w:trPr>
        <w:tc>
          <w:tcPr>
            <w:tcW w:w="2000" w:type="dxa"/>
            <w:tcBorders>
              <w:top w:val="single" w:sz="4" w:space="0" w:color="E0E0E0"/>
              <w:bottom w:val="single" w:sz="4" w:space="0" w:color="E0E0E0"/>
            </w:tcBorders>
            <w:shd w:val="clear" w:color="auto" w:fill="FFFFFF"/>
            <w:tcMar>
              <w:top w:w="80" w:type="dxa"/>
              <w:bottom w:w="80" w:type="dxa"/>
            </w:tcMar>
            <w:vAlign w:val="center"/>
          </w:tcPr>
          <w:p w14:paraId="00C5B7B7"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lastRenderedPageBreak/>
              <w:t>Pruebas Unitarias</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3C258EA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 xml:space="preserve">21 </w:t>
            </w:r>
            <w:proofErr w:type="gramStart"/>
            <w:r w:rsidRPr="00B44469">
              <w:rPr>
                <w:rFonts w:ascii="Times New Roman" w:hAnsi="Times New Roman" w:cs="Times New Roman"/>
                <w:color w:val="111111"/>
                <w:sz w:val="19"/>
              </w:rPr>
              <w:t>Casos</w:t>
            </w:r>
            <w:proofErr w:type="gramEnd"/>
          </w:p>
        </w:tc>
        <w:tc>
          <w:tcPr>
            <w:tcW w:w="4000" w:type="dxa"/>
            <w:tcBorders>
              <w:top w:val="single" w:sz="4" w:space="0" w:color="E0E0E0"/>
              <w:bottom w:val="single" w:sz="4" w:space="0" w:color="E0E0E0"/>
            </w:tcBorders>
            <w:shd w:val="clear" w:color="auto" w:fill="FFFFFF"/>
            <w:tcMar>
              <w:top w:w="80" w:type="dxa"/>
              <w:bottom w:w="80" w:type="dxa"/>
            </w:tcMar>
            <w:vAlign w:val="center"/>
          </w:tcPr>
          <w:p w14:paraId="07DF0FE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Lógica de negocio, validaciones de fecha de caducidad, cálculo de descuentos y control de inventario.</w:t>
            </w:r>
          </w:p>
        </w:tc>
        <w:tc>
          <w:tcPr>
            <w:tcW w:w="2000" w:type="dxa"/>
            <w:tcBorders>
              <w:top w:val="single" w:sz="4" w:space="0" w:color="E0E0E0"/>
              <w:bottom w:val="single" w:sz="4" w:space="0" w:color="E0E0E0"/>
            </w:tcBorders>
            <w:shd w:val="clear" w:color="auto" w:fill="FFFFFF"/>
            <w:tcMar>
              <w:top w:w="80" w:type="dxa"/>
              <w:bottom w:w="80" w:type="dxa"/>
            </w:tcMar>
            <w:vAlign w:val="center"/>
          </w:tcPr>
          <w:p w14:paraId="13714DA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100% Aprobadas (0 defectos críticos).</w:t>
            </w:r>
          </w:p>
        </w:tc>
      </w:tr>
      <w:tr w:rsidR="00B44469" w14:paraId="7A80915E" w14:textId="77777777" w:rsidTr="00B44469">
        <w:trPr>
          <w:jc w:val="center"/>
        </w:trPr>
        <w:tc>
          <w:tcPr>
            <w:tcW w:w="2000" w:type="dxa"/>
            <w:tcBorders>
              <w:top w:val="single" w:sz="4" w:space="0" w:color="E0E0E0"/>
              <w:bottom w:val="single" w:sz="4" w:space="0" w:color="E0E0E0"/>
            </w:tcBorders>
            <w:shd w:val="clear" w:color="auto" w:fill="F4F1E6"/>
            <w:tcMar>
              <w:top w:w="80" w:type="dxa"/>
              <w:bottom w:w="80" w:type="dxa"/>
            </w:tcMar>
            <w:vAlign w:val="center"/>
          </w:tcPr>
          <w:p w14:paraId="568BB479"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Pruebas Funcionales</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4897683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 xml:space="preserve">21 </w:t>
            </w:r>
            <w:proofErr w:type="gramStart"/>
            <w:r w:rsidRPr="00B44469">
              <w:rPr>
                <w:rFonts w:ascii="Times New Roman" w:hAnsi="Times New Roman" w:cs="Times New Roman"/>
                <w:color w:val="111111"/>
                <w:sz w:val="19"/>
              </w:rPr>
              <w:t>Casos</w:t>
            </w:r>
            <w:proofErr w:type="gramEnd"/>
          </w:p>
        </w:tc>
        <w:tc>
          <w:tcPr>
            <w:tcW w:w="4000" w:type="dxa"/>
            <w:tcBorders>
              <w:top w:val="single" w:sz="4" w:space="0" w:color="E0E0E0"/>
              <w:bottom w:val="single" w:sz="4" w:space="0" w:color="E0E0E0"/>
            </w:tcBorders>
            <w:shd w:val="clear" w:color="auto" w:fill="F4F1E6"/>
            <w:tcMar>
              <w:top w:w="80" w:type="dxa"/>
              <w:bottom w:w="80" w:type="dxa"/>
            </w:tcMar>
            <w:vAlign w:val="center"/>
          </w:tcPr>
          <w:p w14:paraId="7384D84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Flujos integrales de interfaz por caso de uso en ambiente Alfa con perfiles comprador y vendedor.</w:t>
            </w:r>
          </w:p>
        </w:tc>
        <w:tc>
          <w:tcPr>
            <w:tcW w:w="2000" w:type="dxa"/>
            <w:tcBorders>
              <w:top w:val="single" w:sz="4" w:space="0" w:color="E0E0E0"/>
              <w:bottom w:val="single" w:sz="4" w:space="0" w:color="E0E0E0"/>
            </w:tcBorders>
            <w:shd w:val="clear" w:color="auto" w:fill="F4F1E6"/>
            <w:tcMar>
              <w:top w:w="80" w:type="dxa"/>
              <w:bottom w:w="80" w:type="dxa"/>
            </w:tcMar>
            <w:vAlign w:val="center"/>
          </w:tcPr>
          <w:p w14:paraId="4A6AB3C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100% Aprobadas (ajustes menores de UI resueltos).</w:t>
            </w:r>
          </w:p>
        </w:tc>
      </w:tr>
      <w:tr w:rsidR="00B44469" w14:paraId="4108F00F" w14:textId="77777777" w:rsidTr="00B44469">
        <w:trPr>
          <w:jc w:val="center"/>
        </w:trPr>
        <w:tc>
          <w:tcPr>
            <w:tcW w:w="2000" w:type="dxa"/>
            <w:tcBorders>
              <w:top w:val="single" w:sz="4" w:space="0" w:color="E0E0E0"/>
              <w:bottom w:val="single" w:sz="4" w:space="0" w:color="D9D9D9"/>
            </w:tcBorders>
            <w:shd w:val="clear" w:color="auto" w:fill="FFFFFF"/>
            <w:tcMar>
              <w:top w:w="80" w:type="dxa"/>
              <w:bottom w:w="80" w:type="dxa"/>
            </w:tcMar>
            <w:vAlign w:val="center"/>
          </w:tcPr>
          <w:p w14:paraId="3155B172"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Pruebas de Aceptación</w:t>
            </w:r>
          </w:p>
        </w:tc>
        <w:tc>
          <w:tcPr>
            <w:tcW w:w="1400" w:type="dxa"/>
            <w:tcBorders>
              <w:top w:val="single" w:sz="4" w:space="0" w:color="E0E0E0"/>
              <w:bottom w:val="single" w:sz="4" w:space="0" w:color="D9D9D9"/>
            </w:tcBorders>
            <w:shd w:val="clear" w:color="auto" w:fill="FFFFFF"/>
            <w:tcMar>
              <w:top w:w="80" w:type="dxa"/>
              <w:bottom w:w="80" w:type="dxa"/>
            </w:tcMar>
            <w:vAlign w:val="center"/>
          </w:tcPr>
          <w:p w14:paraId="3F852447"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 xml:space="preserve">21 </w:t>
            </w:r>
            <w:proofErr w:type="gramStart"/>
            <w:r w:rsidRPr="00B44469">
              <w:rPr>
                <w:rFonts w:ascii="Times New Roman" w:hAnsi="Times New Roman" w:cs="Times New Roman"/>
                <w:color w:val="111111"/>
                <w:sz w:val="19"/>
              </w:rPr>
              <w:t>Casos</w:t>
            </w:r>
            <w:proofErr w:type="gramEnd"/>
          </w:p>
        </w:tc>
        <w:tc>
          <w:tcPr>
            <w:tcW w:w="4000" w:type="dxa"/>
            <w:tcBorders>
              <w:top w:val="single" w:sz="4" w:space="0" w:color="E0E0E0"/>
              <w:bottom w:val="single" w:sz="4" w:space="0" w:color="D9D9D9"/>
            </w:tcBorders>
            <w:shd w:val="clear" w:color="auto" w:fill="FFFFFF"/>
            <w:tcMar>
              <w:top w:w="80" w:type="dxa"/>
              <w:bottom w:w="80" w:type="dxa"/>
            </w:tcMar>
            <w:vAlign w:val="center"/>
          </w:tcPr>
          <w:p w14:paraId="71CD84A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Escenarios completos con datos semilla y simulación de transacciones reales en ambiente Beta.</w:t>
            </w:r>
          </w:p>
        </w:tc>
        <w:tc>
          <w:tcPr>
            <w:tcW w:w="2000" w:type="dxa"/>
            <w:tcBorders>
              <w:top w:val="single" w:sz="4" w:space="0" w:color="E0E0E0"/>
              <w:bottom w:val="single" w:sz="4" w:space="0" w:color="D9D9D9"/>
            </w:tcBorders>
            <w:shd w:val="clear" w:color="auto" w:fill="FFFFFF"/>
            <w:tcMar>
              <w:top w:w="80" w:type="dxa"/>
              <w:bottom w:w="80" w:type="dxa"/>
            </w:tcMar>
            <w:vAlign w:val="center"/>
          </w:tcPr>
          <w:p w14:paraId="74677BE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100% Validadas por el Product Owner / QA.</w:t>
            </w:r>
          </w:p>
        </w:tc>
      </w:tr>
    </w:tbl>
    <w:p w14:paraId="0EEE50A2" w14:textId="77777777" w:rsidR="00B44469" w:rsidRDefault="00B44469" w:rsidP="00B44469">
      <w:pPr>
        <w:spacing w:after="120" w:line="276" w:lineRule="auto"/>
        <w:ind w:left="360"/>
        <w:jc w:val="both"/>
      </w:pPr>
    </w:p>
    <w:p w14:paraId="679820E1"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5. MATRIZ DE CUMPLIMIENTO Y TRAZABILIDAD DE REQUERIMIENTOS</w:t>
      </w:r>
    </w:p>
    <w:p w14:paraId="52324342"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xml:space="preserve">A </w:t>
      </w:r>
      <w:proofErr w:type="gramStart"/>
      <w:r w:rsidRPr="00B44469">
        <w:rPr>
          <w:rFonts w:ascii="Times New Roman" w:hAnsi="Times New Roman" w:cs="Times New Roman"/>
          <w:color w:val="111111"/>
        </w:rPr>
        <w:t>continuación</w:t>
      </w:r>
      <w:proofErr w:type="gramEnd"/>
      <w:r w:rsidRPr="00B44469">
        <w:rPr>
          <w:rFonts w:ascii="Times New Roman" w:hAnsi="Times New Roman" w:cs="Times New Roman"/>
          <w:color w:val="111111"/>
        </w:rPr>
        <w:t xml:space="preserve"> se resume el estado de cumplimiento del 100% de los requerimientos funcionales especificados en el proyecto:</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900"/>
        <w:gridCol w:w="3000"/>
        <w:gridCol w:w="2200"/>
        <w:gridCol w:w="1900"/>
        <w:gridCol w:w="1400"/>
      </w:tblGrid>
      <w:tr w:rsidR="00B44469" w14:paraId="159CDE1E" w14:textId="77777777" w:rsidTr="00B44469">
        <w:trPr>
          <w:jc w:val="center"/>
        </w:trPr>
        <w:tc>
          <w:tcPr>
            <w:tcW w:w="900" w:type="dxa"/>
            <w:tcBorders>
              <w:top w:val="single" w:sz="4" w:space="0" w:color="D9D9D9"/>
              <w:bottom w:val="single" w:sz="4" w:space="0" w:color="E0E0E0"/>
            </w:tcBorders>
            <w:shd w:val="clear" w:color="auto" w:fill="1E3A2B"/>
            <w:tcMar>
              <w:top w:w="100" w:type="dxa"/>
              <w:bottom w:w="100" w:type="dxa"/>
            </w:tcMar>
            <w:vAlign w:val="center"/>
          </w:tcPr>
          <w:p w14:paraId="6D4B2DEA"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RF</w:t>
            </w:r>
          </w:p>
        </w:tc>
        <w:tc>
          <w:tcPr>
            <w:tcW w:w="3000" w:type="dxa"/>
            <w:tcBorders>
              <w:top w:val="single" w:sz="4" w:space="0" w:color="D9D9D9"/>
              <w:bottom w:val="single" w:sz="4" w:space="0" w:color="E0E0E0"/>
            </w:tcBorders>
            <w:shd w:val="clear" w:color="auto" w:fill="1E3A2B"/>
            <w:tcMar>
              <w:top w:w="100" w:type="dxa"/>
              <w:bottom w:w="100" w:type="dxa"/>
            </w:tcMar>
            <w:vAlign w:val="center"/>
          </w:tcPr>
          <w:p w14:paraId="782D5C45"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Caso de Uso Asociado</w:t>
            </w:r>
          </w:p>
        </w:tc>
        <w:tc>
          <w:tcPr>
            <w:tcW w:w="2200" w:type="dxa"/>
            <w:tcBorders>
              <w:top w:val="single" w:sz="4" w:space="0" w:color="D9D9D9"/>
              <w:bottom w:val="single" w:sz="4" w:space="0" w:color="E0E0E0"/>
            </w:tcBorders>
            <w:shd w:val="clear" w:color="auto" w:fill="1E3A2B"/>
            <w:tcMar>
              <w:top w:w="100" w:type="dxa"/>
              <w:bottom w:w="100" w:type="dxa"/>
            </w:tcMar>
            <w:vAlign w:val="center"/>
          </w:tcPr>
          <w:p w14:paraId="7F39C36A"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Módulo de Software</w:t>
            </w:r>
          </w:p>
        </w:tc>
        <w:tc>
          <w:tcPr>
            <w:tcW w:w="1900" w:type="dxa"/>
            <w:tcBorders>
              <w:top w:val="single" w:sz="4" w:space="0" w:color="D9D9D9"/>
              <w:bottom w:val="single" w:sz="4" w:space="0" w:color="E0E0E0"/>
            </w:tcBorders>
            <w:shd w:val="clear" w:color="auto" w:fill="1E3A2B"/>
            <w:tcMar>
              <w:top w:w="100" w:type="dxa"/>
              <w:bottom w:w="100" w:type="dxa"/>
            </w:tcMar>
            <w:vAlign w:val="center"/>
          </w:tcPr>
          <w:p w14:paraId="660ABF8D"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Prueba Asociada</w:t>
            </w:r>
          </w:p>
        </w:tc>
        <w:tc>
          <w:tcPr>
            <w:tcW w:w="1400" w:type="dxa"/>
            <w:tcBorders>
              <w:top w:val="single" w:sz="4" w:space="0" w:color="D9D9D9"/>
              <w:bottom w:val="single" w:sz="4" w:space="0" w:color="E0E0E0"/>
            </w:tcBorders>
            <w:shd w:val="clear" w:color="auto" w:fill="1E3A2B"/>
            <w:tcMar>
              <w:top w:w="100" w:type="dxa"/>
              <w:bottom w:w="100" w:type="dxa"/>
            </w:tcMar>
            <w:vAlign w:val="center"/>
          </w:tcPr>
          <w:p w14:paraId="456382C7"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Estado de Entrega</w:t>
            </w:r>
          </w:p>
        </w:tc>
      </w:tr>
      <w:tr w:rsidR="00B44469" w14:paraId="791ED109"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3E01E5DD"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RF-01</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69DC154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CU-01: Registrar usuario</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3B28C49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Usuarios y Acceso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2609D9F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CP-U01 / CP-F01 / CP-A01</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62FC037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00761D94"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2E46456D"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RF-02</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58E2238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CU-02: Iniciar y cerrar sesión</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76794C47"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Usuarios y Acceso</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26702B0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CP-U02 / CP-F02 / CP-A02</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382F0F9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0F5C5039"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4E5964B2"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RF-03</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5678E7C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CU-03: Buscar y filtrar productos</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77602D1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Productos y Catálogo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3FAF5C0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CP-U03 / CP-F03 / CP-A03</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456A055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569540CA"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637E5E37"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RF-04</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01F1571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CU-04: Ver detalle de producto</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22A6276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Productos y Catálogo</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5B4185E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CP-U04 / CP-F04 / CP-A04</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7BBB2C0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5FBEC956"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36E37866"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RF-05</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4F8EB3E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CU-05: Comprar / Reservar producto</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309960E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Transacciones y Pedidos</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0726E3D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CP-U05 / CP-F05 / CP-A05</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79FFA73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77B28200"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353ED8DC"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RF-06</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471249FC"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CU-06: Calificar transacción</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23AD2F2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Transacciones y Pedidos</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45F5ABA7"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CP-U06 / CP-F06 / CP-A06</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7CC6F50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1CF70D05"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16323B67"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RF-07</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201DAC9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CU-07: Publicar producto con descuento</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2D7221D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Productos y Catálogo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0E886BC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CP-U07 / CP-F07 / CP-A07</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229A854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70A046F2"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4CBB3CB3"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RF-08</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46148E9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CU-08: Gestionar pedidos recibidos</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1DAF48D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Transacciones y Pedidos</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68894D7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CP-U08 / CP-F08 / CP-A08</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766DE2BC"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36C585F3"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4FCEAD78"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RF-09</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46E1C2A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CU-09: Ver estadísticas de ventas</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5DF5C71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Analítica y Reportes</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38E3238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CP-U09 / CP-F09 / CP-A09</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7CD5F28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333D55EE"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52B08694"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RF-10</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5927CAA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CU-10: Gestionar cuentas de usuario</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669688A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Administración</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3804CDD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CP-U10 / CP-F10 / CP-A10</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2B59E89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47B39B23"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53165A36"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lastRenderedPageBreak/>
              <w:t>RF-11</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1B8F9FC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CU-11: Moderar productos reportados</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6FF1B78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Administración</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271A001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CP-U11 / CP-F11 / CP-A11</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2B827AF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32595B86"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505365E8"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RF-12</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2A79471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CU-12: Generar reportes de impacto</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09A997C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Impacto y Sostenibilidad</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4A304CE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CP-U12 / CP-F12 / CP-A12</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3A03798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2F70F7E5"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291901B7"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RF-13</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3F63A1B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CU-13: Recuperar contraseña</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6C40F52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Usuarios y Acceso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130AA28E"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CP-U13 / CP-F13 / CP-A13</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1A0AE7F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50079015"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1BE2E2E3"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RF-14</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6A26D80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CU-14: Editar perfil de usuario</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6F39B1B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Usuarios y Acceso</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1364D13E"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CP-U14 / CP-F14 / CP-A14</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1DBBFDE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2B4DAD08"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4D2F4C52"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RF-15</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2A8FC5B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CU-15: Gestionar productos favoritos</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68A02AA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Productos y Catálogo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6392606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CP-U15 / CP-F15 / CP-A15</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018A222C"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4220DB8F"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5DF3C47A"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RF-16</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6BC566F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CU-16: Contactar vendedor (mensajes)</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0F0C878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Transacciones y Pedidos</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6EB6E49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CP-U16 / CP-F16 / CP-A16</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796C12F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451675BA"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0193D598"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RF-17</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1F75D72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CU-17: Cancelar pedido y reponer stock</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06CAB53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Transacciones y Pedidos</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299745CE"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CP-U17 / CP-F17 / CP-A17</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2B5DB5DC"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Completado y Operativo</w:t>
            </w:r>
          </w:p>
        </w:tc>
      </w:tr>
      <w:tr w:rsidR="00B44469" w14:paraId="1AFC5D20"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09AF36A1"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RF-18</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21CF766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CU-18: Reportar producto irregular</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2EFD7AC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Administración</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4D5BCA5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CP-U18 / CP-F18 / CP-A18</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556EE963"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56AD4B45" w14:textId="77777777" w:rsidTr="00B44469">
        <w:trPr>
          <w:jc w:val="center"/>
        </w:trPr>
        <w:tc>
          <w:tcPr>
            <w:tcW w:w="900" w:type="dxa"/>
            <w:tcBorders>
              <w:top w:val="single" w:sz="4" w:space="0" w:color="E0E0E0"/>
              <w:bottom w:val="single" w:sz="4" w:space="0" w:color="E0E0E0"/>
            </w:tcBorders>
            <w:shd w:val="clear" w:color="auto" w:fill="FFFFFF"/>
            <w:tcMar>
              <w:top w:w="80" w:type="dxa"/>
              <w:bottom w:w="80" w:type="dxa"/>
            </w:tcMar>
            <w:vAlign w:val="center"/>
          </w:tcPr>
          <w:p w14:paraId="5E8D4627"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RF-19</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6CC9227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CU-19: Editar producto publicado</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7B3C9A2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Productos y Catálogo</w:t>
            </w:r>
          </w:p>
        </w:tc>
        <w:tc>
          <w:tcPr>
            <w:tcW w:w="1900" w:type="dxa"/>
            <w:tcBorders>
              <w:top w:val="single" w:sz="4" w:space="0" w:color="E0E0E0"/>
              <w:bottom w:val="single" w:sz="4" w:space="0" w:color="E0E0E0"/>
            </w:tcBorders>
            <w:shd w:val="clear" w:color="auto" w:fill="FFFFFF"/>
            <w:tcMar>
              <w:top w:w="80" w:type="dxa"/>
              <w:bottom w:w="80" w:type="dxa"/>
            </w:tcMar>
            <w:vAlign w:val="center"/>
          </w:tcPr>
          <w:p w14:paraId="5EF1CEE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CP-U19 / CP-F19 / CP-A19</w:t>
            </w:r>
          </w:p>
        </w:tc>
        <w:tc>
          <w:tcPr>
            <w:tcW w:w="1400" w:type="dxa"/>
            <w:tcBorders>
              <w:top w:val="single" w:sz="4" w:space="0" w:color="E0E0E0"/>
              <w:bottom w:val="single" w:sz="4" w:space="0" w:color="E0E0E0"/>
            </w:tcBorders>
            <w:shd w:val="clear" w:color="auto" w:fill="FFFFFF"/>
            <w:tcMar>
              <w:top w:w="80" w:type="dxa"/>
              <w:bottom w:w="80" w:type="dxa"/>
            </w:tcMar>
            <w:vAlign w:val="center"/>
          </w:tcPr>
          <w:p w14:paraId="7D9BA24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558AFA65" w14:textId="77777777" w:rsidTr="00B44469">
        <w:trPr>
          <w:jc w:val="center"/>
        </w:trPr>
        <w:tc>
          <w:tcPr>
            <w:tcW w:w="900" w:type="dxa"/>
            <w:tcBorders>
              <w:top w:val="single" w:sz="4" w:space="0" w:color="E0E0E0"/>
              <w:bottom w:val="single" w:sz="4" w:space="0" w:color="E0E0E0"/>
            </w:tcBorders>
            <w:shd w:val="clear" w:color="auto" w:fill="F4F1E6"/>
            <w:tcMar>
              <w:top w:w="80" w:type="dxa"/>
              <w:bottom w:w="80" w:type="dxa"/>
            </w:tcMar>
            <w:vAlign w:val="center"/>
          </w:tcPr>
          <w:p w14:paraId="512D6903"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RF-20</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562274D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CU-20: Gestionar categorías del sistema</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02E9A41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Administración</w:t>
            </w:r>
          </w:p>
        </w:tc>
        <w:tc>
          <w:tcPr>
            <w:tcW w:w="1900" w:type="dxa"/>
            <w:tcBorders>
              <w:top w:val="single" w:sz="4" w:space="0" w:color="E0E0E0"/>
              <w:bottom w:val="single" w:sz="4" w:space="0" w:color="E0E0E0"/>
            </w:tcBorders>
            <w:shd w:val="clear" w:color="auto" w:fill="F4F1E6"/>
            <w:tcMar>
              <w:top w:w="80" w:type="dxa"/>
              <w:bottom w:w="80" w:type="dxa"/>
            </w:tcMar>
            <w:vAlign w:val="center"/>
          </w:tcPr>
          <w:p w14:paraId="5848D87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CP-U20 / CP-F20 / CP-A20</w:t>
            </w:r>
          </w:p>
        </w:tc>
        <w:tc>
          <w:tcPr>
            <w:tcW w:w="1400" w:type="dxa"/>
            <w:tcBorders>
              <w:top w:val="single" w:sz="4" w:space="0" w:color="E0E0E0"/>
              <w:bottom w:val="single" w:sz="4" w:space="0" w:color="E0E0E0"/>
            </w:tcBorders>
            <w:shd w:val="clear" w:color="auto" w:fill="F4F1E6"/>
            <w:tcMar>
              <w:top w:w="80" w:type="dxa"/>
              <w:bottom w:w="80" w:type="dxa"/>
            </w:tcMar>
            <w:vAlign w:val="center"/>
          </w:tcPr>
          <w:p w14:paraId="7DA59D2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r w:rsidR="00B44469" w14:paraId="0559F0C3" w14:textId="77777777" w:rsidTr="00B44469">
        <w:trPr>
          <w:jc w:val="center"/>
        </w:trPr>
        <w:tc>
          <w:tcPr>
            <w:tcW w:w="900" w:type="dxa"/>
            <w:tcBorders>
              <w:top w:val="single" w:sz="4" w:space="0" w:color="E0E0E0"/>
              <w:bottom w:val="single" w:sz="4" w:space="0" w:color="D9D9D9"/>
            </w:tcBorders>
            <w:shd w:val="clear" w:color="auto" w:fill="FFFFFF"/>
            <w:tcMar>
              <w:top w:w="80" w:type="dxa"/>
              <w:bottom w:w="80" w:type="dxa"/>
            </w:tcMar>
            <w:vAlign w:val="center"/>
          </w:tcPr>
          <w:p w14:paraId="4FB4E010"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RF-21</w:t>
            </w:r>
          </w:p>
        </w:tc>
        <w:tc>
          <w:tcPr>
            <w:tcW w:w="3000" w:type="dxa"/>
            <w:tcBorders>
              <w:top w:val="single" w:sz="4" w:space="0" w:color="E0E0E0"/>
              <w:bottom w:val="single" w:sz="4" w:space="0" w:color="D9D9D9"/>
            </w:tcBorders>
            <w:shd w:val="clear" w:color="auto" w:fill="FFFFFF"/>
            <w:tcMar>
              <w:top w:w="80" w:type="dxa"/>
              <w:bottom w:w="80" w:type="dxa"/>
            </w:tcMar>
            <w:vAlign w:val="center"/>
          </w:tcPr>
          <w:p w14:paraId="6904AAD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CU-21: Suscribirse a plan premium</w:t>
            </w:r>
          </w:p>
        </w:tc>
        <w:tc>
          <w:tcPr>
            <w:tcW w:w="2200" w:type="dxa"/>
            <w:tcBorders>
              <w:top w:val="single" w:sz="4" w:space="0" w:color="E0E0E0"/>
              <w:bottom w:val="single" w:sz="4" w:space="0" w:color="D9D9D9"/>
            </w:tcBorders>
            <w:shd w:val="clear" w:color="auto" w:fill="FFFFFF"/>
            <w:tcMar>
              <w:top w:w="80" w:type="dxa"/>
              <w:bottom w:w="80" w:type="dxa"/>
            </w:tcMar>
            <w:vAlign w:val="center"/>
          </w:tcPr>
          <w:p w14:paraId="7319E81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Monetización</w:t>
            </w:r>
          </w:p>
        </w:tc>
        <w:tc>
          <w:tcPr>
            <w:tcW w:w="1900" w:type="dxa"/>
            <w:tcBorders>
              <w:top w:val="single" w:sz="4" w:space="0" w:color="E0E0E0"/>
              <w:bottom w:val="single" w:sz="4" w:space="0" w:color="D9D9D9"/>
            </w:tcBorders>
            <w:shd w:val="clear" w:color="auto" w:fill="FFFFFF"/>
            <w:tcMar>
              <w:top w:w="80" w:type="dxa"/>
              <w:bottom w:w="80" w:type="dxa"/>
            </w:tcMar>
            <w:vAlign w:val="center"/>
          </w:tcPr>
          <w:p w14:paraId="43E8D3B4"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CP-U21 / CP-F21 / CP-A21</w:t>
            </w:r>
          </w:p>
        </w:tc>
        <w:tc>
          <w:tcPr>
            <w:tcW w:w="1400" w:type="dxa"/>
            <w:tcBorders>
              <w:top w:val="single" w:sz="4" w:space="0" w:color="E0E0E0"/>
              <w:bottom w:val="single" w:sz="4" w:space="0" w:color="D9D9D9"/>
            </w:tcBorders>
            <w:shd w:val="clear" w:color="auto" w:fill="FFFFFF"/>
            <w:tcMar>
              <w:top w:w="80" w:type="dxa"/>
              <w:bottom w:w="80" w:type="dxa"/>
            </w:tcMar>
            <w:vAlign w:val="center"/>
          </w:tcPr>
          <w:p w14:paraId="560E803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Integrado en Base Modular</w:t>
            </w:r>
          </w:p>
        </w:tc>
      </w:tr>
    </w:tbl>
    <w:p w14:paraId="66762B73" w14:textId="77777777" w:rsidR="00B44469" w:rsidRDefault="00B44469" w:rsidP="00B44469">
      <w:pPr>
        <w:spacing w:after="120" w:line="276" w:lineRule="auto"/>
        <w:ind w:left="360"/>
        <w:jc w:val="both"/>
      </w:pPr>
    </w:p>
    <w:p w14:paraId="5E6DC6F9"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6. EVALUACIÓN ECONÓMICA Y PRESUPUESTAL EJECUTADA</w:t>
      </w:r>
    </w:p>
    <w:p w14:paraId="34772363"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6.1 Comparativa de Presupuesto Planificado vs. Ejecutado Real</w:t>
      </w:r>
    </w:p>
    <w:p w14:paraId="59955A24"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El costo del proyecto se mantuvo dentro de los márgenes fijados en el Estudio de Factibilidad (FD01), registrando una ejecución disciplinada de recursos:</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1900"/>
        <w:gridCol w:w="1600"/>
        <w:gridCol w:w="1600"/>
        <w:gridCol w:w="1300"/>
        <w:gridCol w:w="3000"/>
      </w:tblGrid>
      <w:tr w:rsidR="00B44469" w14:paraId="1F449843" w14:textId="77777777" w:rsidTr="00B44469">
        <w:trPr>
          <w:jc w:val="center"/>
        </w:trPr>
        <w:tc>
          <w:tcPr>
            <w:tcW w:w="1900" w:type="dxa"/>
            <w:tcBorders>
              <w:top w:val="single" w:sz="4" w:space="0" w:color="D9D9D9"/>
              <w:bottom w:val="single" w:sz="4" w:space="0" w:color="E0E0E0"/>
            </w:tcBorders>
            <w:shd w:val="clear" w:color="auto" w:fill="1E3A2B"/>
            <w:tcMar>
              <w:top w:w="100" w:type="dxa"/>
              <w:bottom w:w="100" w:type="dxa"/>
            </w:tcMar>
            <w:vAlign w:val="center"/>
          </w:tcPr>
          <w:p w14:paraId="51AFF45D"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Rubro Presupuestal</w:t>
            </w:r>
          </w:p>
        </w:tc>
        <w:tc>
          <w:tcPr>
            <w:tcW w:w="1600" w:type="dxa"/>
            <w:tcBorders>
              <w:top w:val="single" w:sz="4" w:space="0" w:color="D9D9D9"/>
              <w:bottom w:val="single" w:sz="4" w:space="0" w:color="E0E0E0"/>
            </w:tcBorders>
            <w:shd w:val="clear" w:color="auto" w:fill="1E3A2B"/>
            <w:tcMar>
              <w:top w:w="100" w:type="dxa"/>
              <w:bottom w:w="100" w:type="dxa"/>
            </w:tcMar>
            <w:vAlign w:val="center"/>
          </w:tcPr>
          <w:p w14:paraId="663E7318"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Planificado (FD01)</w:t>
            </w:r>
          </w:p>
        </w:tc>
        <w:tc>
          <w:tcPr>
            <w:tcW w:w="1600" w:type="dxa"/>
            <w:tcBorders>
              <w:top w:val="single" w:sz="4" w:space="0" w:color="D9D9D9"/>
              <w:bottom w:val="single" w:sz="4" w:space="0" w:color="E0E0E0"/>
            </w:tcBorders>
            <w:shd w:val="clear" w:color="auto" w:fill="1E3A2B"/>
            <w:tcMar>
              <w:top w:w="100" w:type="dxa"/>
              <w:bottom w:w="100" w:type="dxa"/>
            </w:tcMar>
            <w:vAlign w:val="center"/>
          </w:tcPr>
          <w:p w14:paraId="04D23B5C"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Ejecutado Real</w:t>
            </w:r>
          </w:p>
        </w:tc>
        <w:tc>
          <w:tcPr>
            <w:tcW w:w="1300" w:type="dxa"/>
            <w:tcBorders>
              <w:top w:val="single" w:sz="4" w:space="0" w:color="D9D9D9"/>
              <w:bottom w:val="single" w:sz="4" w:space="0" w:color="E0E0E0"/>
            </w:tcBorders>
            <w:shd w:val="clear" w:color="auto" w:fill="1E3A2B"/>
            <w:tcMar>
              <w:top w:w="100" w:type="dxa"/>
              <w:bottom w:w="100" w:type="dxa"/>
            </w:tcMar>
            <w:vAlign w:val="center"/>
          </w:tcPr>
          <w:p w14:paraId="103BF185"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Variación (S/)</w:t>
            </w:r>
          </w:p>
        </w:tc>
        <w:tc>
          <w:tcPr>
            <w:tcW w:w="3000" w:type="dxa"/>
            <w:tcBorders>
              <w:top w:val="single" w:sz="4" w:space="0" w:color="D9D9D9"/>
              <w:bottom w:val="single" w:sz="4" w:space="0" w:color="E0E0E0"/>
            </w:tcBorders>
            <w:shd w:val="clear" w:color="auto" w:fill="1E3A2B"/>
            <w:tcMar>
              <w:top w:w="100" w:type="dxa"/>
              <w:bottom w:w="100" w:type="dxa"/>
            </w:tcMar>
            <w:vAlign w:val="center"/>
          </w:tcPr>
          <w:p w14:paraId="66AD3E86" w14:textId="77777777" w:rsidR="00B44469" w:rsidRPr="00B44469" w:rsidRDefault="00B44469" w:rsidP="00B44469">
            <w:pPr>
              <w:spacing w:after="12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Observaciones de Cierre</w:t>
            </w:r>
          </w:p>
        </w:tc>
      </w:tr>
      <w:tr w:rsidR="00B44469" w14:paraId="2137ECCE" w14:textId="77777777" w:rsidTr="00B44469">
        <w:trPr>
          <w:jc w:val="center"/>
        </w:trPr>
        <w:tc>
          <w:tcPr>
            <w:tcW w:w="1900" w:type="dxa"/>
            <w:tcBorders>
              <w:top w:val="single" w:sz="4" w:space="0" w:color="E0E0E0"/>
              <w:bottom w:val="single" w:sz="4" w:space="0" w:color="E0E0E0"/>
            </w:tcBorders>
            <w:shd w:val="clear" w:color="auto" w:fill="FFFFFF"/>
            <w:tcMar>
              <w:top w:w="80" w:type="dxa"/>
              <w:bottom w:w="80" w:type="dxa"/>
            </w:tcMar>
            <w:vAlign w:val="center"/>
          </w:tcPr>
          <w:p w14:paraId="2592064D"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Costo de Personal</w:t>
            </w:r>
          </w:p>
        </w:tc>
        <w:tc>
          <w:tcPr>
            <w:tcW w:w="1600" w:type="dxa"/>
            <w:tcBorders>
              <w:top w:val="single" w:sz="4" w:space="0" w:color="E0E0E0"/>
              <w:bottom w:val="single" w:sz="4" w:space="0" w:color="E0E0E0"/>
            </w:tcBorders>
            <w:shd w:val="clear" w:color="auto" w:fill="FFFFFF"/>
            <w:tcMar>
              <w:top w:w="80" w:type="dxa"/>
              <w:bottom w:w="80" w:type="dxa"/>
            </w:tcMar>
            <w:vAlign w:val="center"/>
          </w:tcPr>
          <w:p w14:paraId="6E08882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13,200.00</w:t>
            </w:r>
          </w:p>
        </w:tc>
        <w:tc>
          <w:tcPr>
            <w:tcW w:w="1600" w:type="dxa"/>
            <w:tcBorders>
              <w:top w:val="single" w:sz="4" w:space="0" w:color="E0E0E0"/>
              <w:bottom w:val="single" w:sz="4" w:space="0" w:color="E0E0E0"/>
            </w:tcBorders>
            <w:shd w:val="clear" w:color="auto" w:fill="FFFFFF"/>
            <w:tcMar>
              <w:top w:w="80" w:type="dxa"/>
              <w:bottom w:w="80" w:type="dxa"/>
            </w:tcMar>
            <w:vAlign w:val="center"/>
          </w:tcPr>
          <w:p w14:paraId="585BDAEB"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13,200.00</w:t>
            </w:r>
          </w:p>
        </w:tc>
        <w:tc>
          <w:tcPr>
            <w:tcW w:w="1300" w:type="dxa"/>
            <w:tcBorders>
              <w:top w:val="single" w:sz="4" w:space="0" w:color="E0E0E0"/>
              <w:bottom w:val="single" w:sz="4" w:space="0" w:color="E0E0E0"/>
            </w:tcBorders>
            <w:shd w:val="clear" w:color="auto" w:fill="FFFFFF"/>
            <w:tcMar>
              <w:top w:w="80" w:type="dxa"/>
              <w:bottom w:w="80" w:type="dxa"/>
            </w:tcMar>
            <w:vAlign w:val="center"/>
          </w:tcPr>
          <w:p w14:paraId="56EA3D5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0.00</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73410A60"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800 horas/hombre (400 h desarrollador + 400 h tester/UX) ejecutadas al 100%.</w:t>
            </w:r>
          </w:p>
        </w:tc>
      </w:tr>
      <w:tr w:rsidR="00B44469" w14:paraId="0A8B788C" w14:textId="77777777" w:rsidTr="00B44469">
        <w:trPr>
          <w:jc w:val="center"/>
        </w:trPr>
        <w:tc>
          <w:tcPr>
            <w:tcW w:w="1900" w:type="dxa"/>
            <w:tcBorders>
              <w:top w:val="single" w:sz="4" w:space="0" w:color="E0E0E0"/>
              <w:bottom w:val="single" w:sz="4" w:space="0" w:color="E0E0E0"/>
            </w:tcBorders>
            <w:shd w:val="clear" w:color="auto" w:fill="F4F1E6"/>
            <w:tcMar>
              <w:top w:w="80" w:type="dxa"/>
              <w:bottom w:w="80" w:type="dxa"/>
            </w:tcMar>
            <w:vAlign w:val="center"/>
          </w:tcPr>
          <w:p w14:paraId="79844BE9"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Costos de Ambiente</w:t>
            </w:r>
          </w:p>
        </w:tc>
        <w:tc>
          <w:tcPr>
            <w:tcW w:w="1600" w:type="dxa"/>
            <w:tcBorders>
              <w:top w:val="single" w:sz="4" w:space="0" w:color="E0E0E0"/>
              <w:bottom w:val="single" w:sz="4" w:space="0" w:color="E0E0E0"/>
            </w:tcBorders>
            <w:shd w:val="clear" w:color="auto" w:fill="F4F1E6"/>
            <w:tcMar>
              <w:top w:w="80" w:type="dxa"/>
              <w:bottom w:w="80" w:type="dxa"/>
            </w:tcMar>
            <w:vAlign w:val="center"/>
          </w:tcPr>
          <w:p w14:paraId="636128DF"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1,633.33</w:t>
            </w:r>
          </w:p>
        </w:tc>
        <w:tc>
          <w:tcPr>
            <w:tcW w:w="1600" w:type="dxa"/>
            <w:tcBorders>
              <w:top w:val="single" w:sz="4" w:space="0" w:color="E0E0E0"/>
              <w:bottom w:val="single" w:sz="4" w:space="0" w:color="E0E0E0"/>
            </w:tcBorders>
            <w:shd w:val="clear" w:color="auto" w:fill="F4F1E6"/>
            <w:tcMar>
              <w:top w:w="80" w:type="dxa"/>
              <w:bottom w:w="80" w:type="dxa"/>
            </w:tcMar>
            <w:vAlign w:val="center"/>
          </w:tcPr>
          <w:p w14:paraId="2169DD56"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1,633.33</w:t>
            </w:r>
          </w:p>
        </w:tc>
        <w:tc>
          <w:tcPr>
            <w:tcW w:w="1300" w:type="dxa"/>
            <w:tcBorders>
              <w:top w:val="single" w:sz="4" w:space="0" w:color="E0E0E0"/>
              <w:bottom w:val="single" w:sz="4" w:space="0" w:color="E0E0E0"/>
            </w:tcBorders>
            <w:shd w:val="clear" w:color="auto" w:fill="F4F1E6"/>
            <w:tcMar>
              <w:top w:w="80" w:type="dxa"/>
              <w:bottom w:w="80" w:type="dxa"/>
            </w:tcMar>
            <w:vAlign w:val="center"/>
          </w:tcPr>
          <w:p w14:paraId="755CFC6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0.00</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0B4C55F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Depreciación de 2 laptops, conectividad de banda ancha y energía durante 5 meses.</w:t>
            </w:r>
          </w:p>
        </w:tc>
      </w:tr>
      <w:tr w:rsidR="00B44469" w14:paraId="173F43DE" w14:textId="77777777" w:rsidTr="00B44469">
        <w:trPr>
          <w:jc w:val="center"/>
        </w:trPr>
        <w:tc>
          <w:tcPr>
            <w:tcW w:w="1900" w:type="dxa"/>
            <w:tcBorders>
              <w:top w:val="single" w:sz="4" w:space="0" w:color="E0E0E0"/>
              <w:bottom w:val="single" w:sz="4" w:space="0" w:color="E0E0E0"/>
            </w:tcBorders>
            <w:shd w:val="clear" w:color="auto" w:fill="FFFFFF"/>
            <w:tcMar>
              <w:top w:w="80" w:type="dxa"/>
              <w:bottom w:w="80" w:type="dxa"/>
            </w:tcMar>
            <w:vAlign w:val="center"/>
          </w:tcPr>
          <w:p w14:paraId="239C37BA"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lastRenderedPageBreak/>
              <w:t>Costos Operativos</w:t>
            </w:r>
          </w:p>
        </w:tc>
        <w:tc>
          <w:tcPr>
            <w:tcW w:w="1600" w:type="dxa"/>
            <w:tcBorders>
              <w:top w:val="single" w:sz="4" w:space="0" w:color="E0E0E0"/>
              <w:bottom w:val="single" w:sz="4" w:space="0" w:color="E0E0E0"/>
            </w:tcBorders>
            <w:shd w:val="clear" w:color="auto" w:fill="FFFFFF"/>
            <w:tcMar>
              <w:top w:w="80" w:type="dxa"/>
              <w:bottom w:w="80" w:type="dxa"/>
            </w:tcMar>
            <w:vAlign w:val="center"/>
          </w:tcPr>
          <w:p w14:paraId="3B129C22"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415.00</w:t>
            </w:r>
          </w:p>
        </w:tc>
        <w:tc>
          <w:tcPr>
            <w:tcW w:w="1600" w:type="dxa"/>
            <w:tcBorders>
              <w:top w:val="single" w:sz="4" w:space="0" w:color="E0E0E0"/>
              <w:bottom w:val="single" w:sz="4" w:space="0" w:color="E0E0E0"/>
            </w:tcBorders>
            <w:shd w:val="clear" w:color="auto" w:fill="FFFFFF"/>
            <w:tcMar>
              <w:top w:w="80" w:type="dxa"/>
              <w:bottom w:w="80" w:type="dxa"/>
            </w:tcMar>
            <w:vAlign w:val="center"/>
          </w:tcPr>
          <w:p w14:paraId="53FC9BB8"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415.00</w:t>
            </w:r>
          </w:p>
        </w:tc>
        <w:tc>
          <w:tcPr>
            <w:tcW w:w="1300" w:type="dxa"/>
            <w:tcBorders>
              <w:top w:val="single" w:sz="4" w:space="0" w:color="E0E0E0"/>
              <w:bottom w:val="single" w:sz="4" w:space="0" w:color="E0E0E0"/>
            </w:tcBorders>
            <w:shd w:val="clear" w:color="auto" w:fill="FFFFFF"/>
            <w:tcMar>
              <w:top w:w="80" w:type="dxa"/>
              <w:bottom w:w="80" w:type="dxa"/>
            </w:tcMar>
            <w:vAlign w:val="center"/>
          </w:tcPr>
          <w:p w14:paraId="1CEEB3BE"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0.00</w:t>
            </w:r>
          </w:p>
        </w:tc>
        <w:tc>
          <w:tcPr>
            <w:tcW w:w="3000" w:type="dxa"/>
            <w:tcBorders>
              <w:top w:val="single" w:sz="4" w:space="0" w:color="E0E0E0"/>
              <w:bottom w:val="single" w:sz="4" w:space="0" w:color="E0E0E0"/>
            </w:tcBorders>
            <w:shd w:val="clear" w:color="auto" w:fill="FFFFFF"/>
            <w:tcMar>
              <w:top w:w="80" w:type="dxa"/>
              <w:bottom w:w="80" w:type="dxa"/>
            </w:tcMar>
            <w:vAlign w:val="center"/>
          </w:tcPr>
          <w:p w14:paraId="0C7247F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Dominio .com, hosting cloud de pruebas, pasajes de trabajo de campo y encuestas.</w:t>
            </w:r>
          </w:p>
        </w:tc>
      </w:tr>
      <w:tr w:rsidR="00B44469" w14:paraId="6C369F30" w14:textId="77777777" w:rsidTr="00B44469">
        <w:trPr>
          <w:jc w:val="center"/>
        </w:trPr>
        <w:tc>
          <w:tcPr>
            <w:tcW w:w="1900" w:type="dxa"/>
            <w:tcBorders>
              <w:top w:val="single" w:sz="4" w:space="0" w:color="E0E0E0"/>
              <w:bottom w:val="single" w:sz="4" w:space="0" w:color="E0E0E0"/>
            </w:tcBorders>
            <w:shd w:val="clear" w:color="auto" w:fill="F4F1E6"/>
            <w:tcMar>
              <w:top w:w="80" w:type="dxa"/>
              <w:bottom w:w="80" w:type="dxa"/>
            </w:tcMar>
            <w:vAlign w:val="center"/>
          </w:tcPr>
          <w:p w14:paraId="711B6886" w14:textId="77777777" w:rsidR="00B44469" w:rsidRPr="00B44469" w:rsidRDefault="00B44469" w:rsidP="00B44469">
            <w:pPr>
              <w:spacing w:after="12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Imprevistos (10%)</w:t>
            </w:r>
          </w:p>
        </w:tc>
        <w:tc>
          <w:tcPr>
            <w:tcW w:w="1600" w:type="dxa"/>
            <w:tcBorders>
              <w:top w:val="single" w:sz="4" w:space="0" w:color="E0E0E0"/>
              <w:bottom w:val="single" w:sz="4" w:space="0" w:color="E0E0E0"/>
            </w:tcBorders>
            <w:shd w:val="clear" w:color="auto" w:fill="F4F1E6"/>
            <w:tcMar>
              <w:top w:w="80" w:type="dxa"/>
              <w:bottom w:w="80" w:type="dxa"/>
            </w:tcMar>
            <w:vAlign w:val="center"/>
          </w:tcPr>
          <w:p w14:paraId="4385C47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1,524.83</w:t>
            </w:r>
          </w:p>
        </w:tc>
        <w:tc>
          <w:tcPr>
            <w:tcW w:w="1600" w:type="dxa"/>
            <w:tcBorders>
              <w:top w:val="single" w:sz="4" w:space="0" w:color="E0E0E0"/>
              <w:bottom w:val="single" w:sz="4" w:space="0" w:color="E0E0E0"/>
            </w:tcBorders>
            <w:shd w:val="clear" w:color="auto" w:fill="F4F1E6"/>
            <w:tcMar>
              <w:top w:w="80" w:type="dxa"/>
              <w:bottom w:w="80" w:type="dxa"/>
            </w:tcMar>
            <w:vAlign w:val="center"/>
          </w:tcPr>
          <w:p w14:paraId="7DCE8601"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1,524.83</w:t>
            </w:r>
          </w:p>
        </w:tc>
        <w:tc>
          <w:tcPr>
            <w:tcW w:w="1300" w:type="dxa"/>
            <w:tcBorders>
              <w:top w:val="single" w:sz="4" w:space="0" w:color="E0E0E0"/>
              <w:bottom w:val="single" w:sz="4" w:space="0" w:color="E0E0E0"/>
            </w:tcBorders>
            <w:shd w:val="clear" w:color="auto" w:fill="F4F1E6"/>
            <w:tcMar>
              <w:top w:w="80" w:type="dxa"/>
              <w:bottom w:w="80" w:type="dxa"/>
            </w:tcMar>
            <w:vAlign w:val="center"/>
          </w:tcPr>
          <w:p w14:paraId="76F7DBD5"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0.00</w:t>
            </w:r>
          </w:p>
        </w:tc>
        <w:tc>
          <w:tcPr>
            <w:tcW w:w="3000" w:type="dxa"/>
            <w:tcBorders>
              <w:top w:val="single" w:sz="4" w:space="0" w:color="E0E0E0"/>
              <w:bottom w:val="single" w:sz="4" w:space="0" w:color="E0E0E0"/>
            </w:tcBorders>
            <w:shd w:val="clear" w:color="auto" w:fill="F4F1E6"/>
            <w:tcMar>
              <w:top w:w="80" w:type="dxa"/>
              <w:bottom w:w="80" w:type="dxa"/>
            </w:tcMar>
            <w:vAlign w:val="center"/>
          </w:tcPr>
          <w:p w14:paraId="1DB963CE"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Aplicados a soporte técnico de despliegue, ajustes de BD y validación de seguridad.</w:t>
            </w:r>
          </w:p>
        </w:tc>
      </w:tr>
      <w:tr w:rsidR="00B44469" w14:paraId="14344CE7" w14:textId="77777777" w:rsidTr="00B44469">
        <w:trPr>
          <w:jc w:val="center"/>
        </w:trPr>
        <w:tc>
          <w:tcPr>
            <w:tcW w:w="1900" w:type="dxa"/>
            <w:tcBorders>
              <w:top w:val="single" w:sz="4" w:space="0" w:color="E0E0E0"/>
              <w:bottom w:val="single" w:sz="4" w:space="0" w:color="D9D9D9"/>
            </w:tcBorders>
            <w:shd w:val="clear" w:color="auto" w:fill="FFFFFF"/>
            <w:tcMar>
              <w:top w:w="80" w:type="dxa"/>
              <w:bottom w:w="80" w:type="dxa"/>
            </w:tcMar>
            <w:vAlign w:val="center"/>
          </w:tcPr>
          <w:p w14:paraId="0685EDFA" w14:textId="77777777" w:rsidR="00B44469" w:rsidRPr="00B44469" w:rsidRDefault="00B44469" w:rsidP="00B44469">
            <w:pPr>
              <w:spacing w:after="120" w:line="276" w:lineRule="auto"/>
              <w:jc w:val="center"/>
              <w:rPr>
                <w:rFonts w:ascii="Times New Roman" w:hAnsi="Times New Roman" w:cs="Times New Roman"/>
                <w:color w:val="111111"/>
                <w:sz w:val="19"/>
              </w:rPr>
            </w:pPr>
            <w:proofErr w:type="gramStart"/>
            <w:r w:rsidRPr="00B44469">
              <w:rPr>
                <w:rFonts w:ascii="Times New Roman" w:hAnsi="Times New Roman" w:cs="Times New Roman"/>
                <w:color w:val="111111"/>
                <w:sz w:val="19"/>
              </w:rPr>
              <w:t>TOTAL</w:t>
            </w:r>
            <w:proofErr w:type="gramEnd"/>
            <w:r w:rsidRPr="00B44469">
              <w:rPr>
                <w:rFonts w:ascii="Times New Roman" w:hAnsi="Times New Roman" w:cs="Times New Roman"/>
                <w:color w:val="111111"/>
                <w:sz w:val="19"/>
              </w:rPr>
              <w:t xml:space="preserve"> GENERAL</w:t>
            </w:r>
          </w:p>
        </w:tc>
        <w:tc>
          <w:tcPr>
            <w:tcW w:w="1600" w:type="dxa"/>
            <w:tcBorders>
              <w:top w:val="single" w:sz="4" w:space="0" w:color="E0E0E0"/>
              <w:bottom w:val="single" w:sz="4" w:space="0" w:color="D9D9D9"/>
            </w:tcBorders>
            <w:shd w:val="clear" w:color="auto" w:fill="FFFFFF"/>
            <w:tcMar>
              <w:top w:w="80" w:type="dxa"/>
              <w:bottom w:w="80" w:type="dxa"/>
            </w:tcMar>
            <w:vAlign w:val="center"/>
          </w:tcPr>
          <w:p w14:paraId="5B0734E9"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16,773.16</w:t>
            </w:r>
          </w:p>
        </w:tc>
        <w:tc>
          <w:tcPr>
            <w:tcW w:w="1600" w:type="dxa"/>
            <w:tcBorders>
              <w:top w:val="single" w:sz="4" w:space="0" w:color="E0E0E0"/>
              <w:bottom w:val="single" w:sz="4" w:space="0" w:color="D9D9D9"/>
            </w:tcBorders>
            <w:shd w:val="clear" w:color="auto" w:fill="FFFFFF"/>
            <w:tcMar>
              <w:top w:w="80" w:type="dxa"/>
              <w:bottom w:w="80" w:type="dxa"/>
            </w:tcMar>
            <w:vAlign w:val="center"/>
          </w:tcPr>
          <w:p w14:paraId="3E85A51D"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16,773.16</w:t>
            </w:r>
          </w:p>
        </w:tc>
        <w:tc>
          <w:tcPr>
            <w:tcW w:w="1300" w:type="dxa"/>
            <w:tcBorders>
              <w:top w:val="single" w:sz="4" w:space="0" w:color="E0E0E0"/>
              <w:bottom w:val="single" w:sz="4" w:space="0" w:color="D9D9D9"/>
            </w:tcBorders>
            <w:shd w:val="clear" w:color="auto" w:fill="FFFFFF"/>
            <w:tcMar>
              <w:top w:w="80" w:type="dxa"/>
              <w:bottom w:w="80" w:type="dxa"/>
            </w:tcMar>
            <w:vAlign w:val="center"/>
          </w:tcPr>
          <w:p w14:paraId="281C148A"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S/ 0.00</w:t>
            </w:r>
          </w:p>
        </w:tc>
        <w:tc>
          <w:tcPr>
            <w:tcW w:w="3000" w:type="dxa"/>
            <w:tcBorders>
              <w:top w:val="single" w:sz="4" w:space="0" w:color="E0E0E0"/>
              <w:bottom w:val="single" w:sz="4" w:space="0" w:color="D9D9D9"/>
            </w:tcBorders>
            <w:shd w:val="clear" w:color="auto" w:fill="FFFFFF"/>
            <w:tcMar>
              <w:top w:w="80" w:type="dxa"/>
              <w:bottom w:w="80" w:type="dxa"/>
            </w:tcMar>
            <w:vAlign w:val="center"/>
          </w:tcPr>
          <w:p w14:paraId="584CC527" w14:textId="77777777" w:rsidR="00B44469" w:rsidRPr="00B44469" w:rsidRDefault="00B44469" w:rsidP="00B44469">
            <w:pPr>
              <w:spacing w:after="120" w:line="276" w:lineRule="auto"/>
              <w:rPr>
                <w:rFonts w:ascii="Times New Roman" w:hAnsi="Times New Roman" w:cs="Times New Roman"/>
                <w:color w:val="111111"/>
                <w:sz w:val="19"/>
              </w:rPr>
            </w:pPr>
            <w:r w:rsidRPr="00B44469">
              <w:rPr>
                <w:rFonts w:ascii="Times New Roman" w:hAnsi="Times New Roman" w:cs="Times New Roman"/>
                <w:color w:val="111111"/>
                <w:sz w:val="19"/>
              </w:rPr>
              <w:t>Presupuesto ejecutado en estricta conformidad con la planificación inicial.</w:t>
            </w:r>
          </w:p>
        </w:tc>
      </w:tr>
    </w:tbl>
    <w:p w14:paraId="3576E454" w14:textId="77777777" w:rsidR="00B44469" w:rsidRDefault="00B44469" w:rsidP="00B44469">
      <w:pPr>
        <w:spacing w:after="120" w:line="276" w:lineRule="auto"/>
        <w:ind w:left="360"/>
        <w:jc w:val="both"/>
      </w:pPr>
    </w:p>
    <w:p w14:paraId="2D223D03"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6.2 Análisis de Indicadores Financieros de Retorno</w:t>
      </w:r>
    </w:p>
    <w:p w14:paraId="158B7568"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Valor Actual Neto (VAN): S/ 17,126.60 a una tasa COK del 12%, lo que ratifica que el proyecto crea valor por encima de su costo de oportunidad.</w:t>
      </w:r>
    </w:p>
    <w:p w14:paraId="2223DE0A"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Tasa Interna de Retorno (TIR): 50.3%, superando con creces la tasa exigida del 12%.</w:t>
      </w:r>
    </w:p>
    <w:p w14:paraId="5509F581"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Relación Beneficio / Costo (B/C): 1.55 (por cada sol invertido se generan S/ 1.55 en retornos brutos).</w:t>
      </w:r>
    </w:p>
    <w:p w14:paraId="7A1C47D3"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 Periodo de Recuperación de Inversión (PRI): 1 año y 11 meses mediante comisiones (5%) y planes para negocios (S/ 29.90/mes).</w:t>
      </w:r>
    </w:p>
    <w:p w14:paraId="29FC746C"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7. ANÁLISIS DE RIESGOS Y LECCIONES APRENDIDAS</w:t>
      </w:r>
    </w:p>
    <w:p w14:paraId="550B15FF"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7.1 Matriz de Riesgos Iniciales vs. Mitigación Final Lograda</w:t>
      </w:r>
    </w:p>
    <w:tbl>
      <w:tblPr>
        <w:tblW w:w="9400" w:type="dxa"/>
        <w:jc w:val="center"/>
        <w:tblBorders>
          <w:top w:val="single" w:sz="4" w:space="0" w:color="D9D9D9"/>
          <w:left w:val="single" w:sz="4" w:space="0" w:color="D9D9D9"/>
          <w:bottom w:val="single" w:sz="4" w:space="0" w:color="D9D9D9"/>
          <w:right w:val="single" w:sz="4" w:space="0" w:color="D9D9D9"/>
          <w:insideH w:val="single" w:sz="4" w:space="0" w:color="E0E0E0"/>
          <w:insideV w:val="single" w:sz="4" w:space="0" w:color="E0E0E0"/>
        </w:tblBorders>
        <w:tblLayout w:type="fixed"/>
        <w:tblCellMar>
          <w:left w:w="70" w:type="dxa"/>
          <w:right w:w="70" w:type="dxa"/>
        </w:tblCellMar>
        <w:tblLook w:val="0000" w:firstRow="0" w:lastRow="0" w:firstColumn="0" w:lastColumn="0" w:noHBand="0" w:noVBand="0"/>
      </w:tblPr>
      <w:tblGrid>
        <w:gridCol w:w="2400"/>
        <w:gridCol w:w="1200"/>
        <w:gridCol w:w="3600"/>
        <w:gridCol w:w="2200"/>
      </w:tblGrid>
      <w:tr w:rsidR="00B44469" w14:paraId="28B0246A" w14:textId="77777777" w:rsidTr="00B44469">
        <w:trPr>
          <w:jc w:val="center"/>
        </w:trPr>
        <w:tc>
          <w:tcPr>
            <w:tcW w:w="2400" w:type="dxa"/>
            <w:tcBorders>
              <w:top w:val="single" w:sz="4" w:space="0" w:color="D9D9D9"/>
              <w:bottom w:val="single" w:sz="4" w:space="0" w:color="E0E0E0"/>
            </w:tcBorders>
            <w:shd w:val="clear" w:color="auto" w:fill="1E3A2B"/>
            <w:tcMar>
              <w:top w:w="100" w:type="dxa"/>
              <w:bottom w:w="100" w:type="dxa"/>
            </w:tcMar>
            <w:vAlign w:val="center"/>
          </w:tcPr>
          <w:p w14:paraId="2557AB69"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Riesgo Identificado (FD01)</w:t>
            </w:r>
          </w:p>
        </w:tc>
        <w:tc>
          <w:tcPr>
            <w:tcW w:w="1200" w:type="dxa"/>
            <w:tcBorders>
              <w:top w:val="single" w:sz="4" w:space="0" w:color="D9D9D9"/>
              <w:bottom w:val="single" w:sz="4" w:space="0" w:color="E0E0E0"/>
            </w:tcBorders>
            <w:shd w:val="clear" w:color="auto" w:fill="1E3A2B"/>
            <w:tcMar>
              <w:top w:w="100" w:type="dxa"/>
              <w:bottom w:w="100" w:type="dxa"/>
            </w:tcMar>
            <w:vAlign w:val="center"/>
          </w:tcPr>
          <w:p w14:paraId="2F579178"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Impacto</w:t>
            </w:r>
          </w:p>
        </w:tc>
        <w:tc>
          <w:tcPr>
            <w:tcW w:w="3600" w:type="dxa"/>
            <w:tcBorders>
              <w:top w:val="single" w:sz="4" w:space="0" w:color="D9D9D9"/>
              <w:bottom w:val="single" w:sz="4" w:space="0" w:color="E0E0E0"/>
            </w:tcBorders>
            <w:shd w:val="clear" w:color="auto" w:fill="1E3A2B"/>
            <w:tcMar>
              <w:top w:w="100" w:type="dxa"/>
              <w:bottom w:w="100" w:type="dxa"/>
            </w:tcMar>
            <w:vAlign w:val="center"/>
          </w:tcPr>
          <w:p w14:paraId="4D747685"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Estrategia Implementada</w:t>
            </w:r>
          </w:p>
        </w:tc>
        <w:tc>
          <w:tcPr>
            <w:tcW w:w="2200" w:type="dxa"/>
            <w:tcBorders>
              <w:top w:val="single" w:sz="4" w:space="0" w:color="D9D9D9"/>
              <w:bottom w:val="single" w:sz="4" w:space="0" w:color="E0E0E0"/>
            </w:tcBorders>
            <w:shd w:val="clear" w:color="auto" w:fill="1E3A2B"/>
            <w:tcMar>
              <w:top w:w="100" w:type="dxa"/>
              <w:bottom w:w="100" w:type="dxa"/>
            </w:tcMar>
            <w:vAlign w:val="center"/>
          </w:tcPr>
          <w:p w14:paraId="07F3A290" w14:textId="77777777" w:rsidR="00B44469" w:rsidRPr="00B44469" w:rsidRDefault="00B44469" w:rsidP="00B44469">
            <w:pPr>
              <w:spacing w:after="100" w:line="276" w:lineRule="auto"/>
              <w:jc w:val="center"/>
              <w:rPr>
                <w:rFonts w:ascii="Times New Roman" w:hAnsi="Times New Roman" w:cs="Times New Roman"/>
                <w:b/>
                <w:color w:val="FFFFFF"/>
                <w:sz w:val="20"/>
              </w:rPr>
            </w:pPr>
            <w:r w:rsidRPr="00B44469">
              <w:rPr>
                <w:rFonts w:ascii="Times New Roman" w:hAnsi="Times New Roman" w:cs="Times New Roman"/>
                <w:b/>
                <w:color w:val="FFFFFF"/>
                <w:sz w:val="20"/>
              </w:rPr>
              <w:t>Estado de Mitigación</w:t>
            </w:r>
          </w:p>
        </w:tc>
      </w:tr>
      <w:tr w:rsidR="00B44469" w14:paraId="0882BABE" w14:textId="77777777" w:rsidTr="00B44469">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14:paraId="0871AF88"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Baja alfabetización digital de vendedores</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0C67B0A7"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Alto</w:t>
            </w:r>
          </w:p>
        </w:tc>
        <w:tc>
          <w:tcPr>
            <w:tcW w:w="3600" w:type="dxa"/>
            <w:tcBorders>
              <w:top w:val="single" w:sz="4" w:space="0" w:color="E0E0E0"/>
              <w:bottom w:val="single" w:sz="4" w:space="0" w:color="E0E0E0"/>
            </w:tcBorders>
            <w:shd w:val="clear" w:color="auto" w:fill="FFFFFF"/>
            <w:tcMar>
              <w:top w:w="80" w:type="dxa"/>
              <w:bottom w:w="80" w:type="dxa"/>
            </w:tcMar>
            <w:vAlign w:val="center"/>
          </w:tcPr>
          <w:p w14:paraId="00F0ABA5"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Diseño de interfaz ultra-simplificada sin tecnicismos; flujo de publicación asistido en 3 pasos.</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2BF59C87"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Mitigado con éxito.</w:t>
            </w:r>
          </w:p>
        </w:tc>
      </w:tr>
      <w:tr w:rsidR="00B44469" w14:paraId="085A3316" w14:textId="77777777" w:rsidTr="00B44469">
        <w:trPr>
          <w:jc w:val="center"/>
        </w:trPr>
        <w:tc>
          <w:tcPr>
            <w:tcW w:w="2400" w:type="dxa"/>
            <w:tcBorders>
              <w:top w:val="single" w:sz="4" w:space="0" w:color="E0E0E0"/>
              <w:bottom w:val="single" w:sz="4" w:space="0" w:color="E0E0E0"/>
            </w:tcBorders>
            <w:shd w:val="clear" w:color="auto" w:fill="F4F1E6"/>
            <w:tcMar>
              <w:top w:w="80" w:type="dxa"/>
              <w:bottom w:w="80" w:type="dxa"/>
            </w:tcMar>
            <w:vAlign w:val="center"/>
          </w:tcPr>
          <w:p w14:paraId="1A42C5E2"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Publicación de productos ya vencidos</w:t>
            </w:r>
          </w:p>
        </w:tc>
        <w:tc>
          <w:tcPr>
            <w:tcW w:w="1200" w:type="dxa"/>
            <w:tcBorders>
              <w:top w:val="single" w:sz="4" w:space="0" w:color="E0E0E0"/>
              <w:bottom w:val="single" w:sz="4" w:space="0" w:color="E0E0E0"/>
            </w:tcBorders>
            <w:shd w:val="clear" w:color="auto" w:fill="F4F1E6"/>
            <w:tcMar>
              <w:top w:w="80" w:type="dxa"/>
              <w:bottom w:w="80" w:type="dxa"/>
            </w:tcMar>
            <w:vAlign w:val="center"/>
          </w:tcPr>
          <w:p w14:paraId="0EAE2970"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Alto</w:t>
            </w:r>
          </w:p>
        </w:tc>
        <w:tc>
          <w:tcPr>
            <w:tcW w:w="3600" w:type="dxa"/>
            <w:tcBorders>
              <w:top w:val="single" w:sz="4" w:space="0" w:color="E0E0E0"/>
              <w:bottom w:val="single" w:sz="4" w:space="0" w:color="E0E0E0"/>
            </w:tcBorders>
            <w:shd w:val="clear" w:color="auto" w:fill="F4F1E6"/>
            <w:tcMar>
              <w:top w:w="80" w:type="dxa"/>
              <w:bottom w:w="80" w:type="dxa"/>
            </w:tcMar>
            <w:vAlign w:val="center"/>
          </w:tcPr>
          <w:p w14:paraId="4A785D9B"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Validación estricta de fecha límite &gt; hora actual; canal de reporte comunitario CU-18 y moderación.</w:t>
            </w:r>
          </w:p>
        </w:tc>
        <w:tc>
          <w:tcPr>
            <w:tcW w:w="2200" w:type="dxa"/>
            <w:tcBorders>
              <w:top w:val="single" w:sz="4" w:space="0" w:color="E0E0E0"/>
              <w:bottom w:val="single" w:sz="4" w:space="0" w:color="E0E0E0"/>
            </w:tcBorders>
            <w:shd w:val="clear" w:color="auto" w:fill="F4F1E6"/>
            <w:tcMar>
              <w:top w:w="80" w:type="dxa"/>
              <w:bottom w:w="80" w:type="dxa"/>
            </w:tcMar>
            <w:vAlign w:val="center"/>
          </w:tcPr>
          <w:p w14:paraId="06ABD014"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Controlado por sistema.</w:t>
            </w:r>
          </w:p>
        </w:tc>
      </w:tr>
      <w:tr w:rsidR="00B44469" w14:paraId="6196BE75" w14:textId="77777777" w:rsidTr="00B44469">
        <w:trPr>
          <w:jc w:val="center"/>
        </w:trPr>
        <w:tc>
          <w:tcPr>
            <w:tcW w:w="2400" w:type="dxa"/>
            <w:tcBorders>
              <w:top w:val="single" w:sz="4" w:space="0" w:color="E0E0E0"/>
              <w:bottom w:val="single" w:sz="4" w:space="0" w:color="E0E0E0"/>
            </w:tcBorders>
            <w:shd w:val="clear" w:color="auto" w:fill="FFFFFF"/>
            <w:tcMar>
              <w:top w:w="80" w:type="dxa"/>
              <w:bottom w:w="80" w:type="dxa"/>
            </w:tcMar>
            <w:vAlign w:val="center"/>
          </w:tcPr>
          <w:p w14:paraId="07667FBA"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Concurrencia y sobreventa de stock</w:t>
            </w:r>
          </w:p>
        </w:tc>
        <w:tc>
          <w:tcPr>
            <w:tcW w:w="1200" w:type="dxa"/>
            <w:tcBorders>
              <w:top w:val="single" w:sz="4" w:space="0" w:color="E0E0E0"/>
              <w:bottom w:val="single" w:sz="4" w:space="0" w:color="E0E0E0"/>
            </w:tcBorders>
            <w:shd w:val="clear" w:color="auto" w:fill="FFFFFF"/>
            <w:tcMar>
              <w:top w:w="80" w:type="dxa"/>
              <w:bottom w:w="80" w:type="dxa"/>
            </w:tcMar>
            <w:vAlign w:val="center"/>
          </w:tcPr>
          <w:p w14:paraId="023EC6E9"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Medio-Alto</w:t>
            </w:r>
          </w:p>
        </w:tc>
        <w:tc>
          <w:tcPr>
            <w:tcW w:w="3600" w:type="dxa"/>
            <w:tcBorders>
              <w:top w:val="single" w:sz="4" w:space="0" w:color="E0E0E0"/>
              <w:bottom w:val="single" w:sz="4" w:space="0" w:color="E0E0E0"/>
            </w:tcBorders>
            <w:shd w:val="clear" w:color="auto" w:fill="FFFFFF"/>
            <w:tcMar>
              <w:top w:w="80" w:type="dxa"/>
              <w:bottom w:w="80" w:type="dxa"/>
            </w:tcMar>
            <w:vAlign w:val="center"/>
          </w:tcPr>
          <w:p w14:paraId="3D617EEF"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Implementación de transacciones atómicas con bloqueos a nivel de fila en PostgreSQL / Supabase.</w:t>
            </w:r>
          </w:p>
        </w:tc>
        <w:tc>
          <w:tcPr>
            <w:tcW w:w="2200" w:type="dxa"/>
            <w:tcBorders>
              <w:top w:val="single" w:sz="4" w:space="0" w:color="E0E0E0"/>
              <w:bottom w:val="single" w:sz="4" w:space="0" w:color="E0E0E0"/>
            </w:tcBorders>
            <w:shd w:val="clear" w:color="auto" w:fill="FFFFFF"/>
            <w:tcMar>
              <w:top w:w="80" w:type="dxa"/>
              <w:bottom w:w="80" w:type="dxa"/>
            </w:tcMar>
            <w:vAlign w:val="center"/>
          </w:tcPr>
          <w:p w14:paraId="604F69B2"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Resuelto en BD.</w:t>
            </w:r>
          </w:p>
        </w:tc>
      </w:tr>
      <w:tr w:rsidR="00B44469" w14:paraId="18166A8B" w14:textId="77777777" w:rsidTr="00B44469">
        <w:trPr>
          <w:jc w:val="center"/>
        </w:trPr>
        <w:tc>
          <w:tcPr>
            <w:tcW w:w="2400" w:type="dxa"/>
            <w:tcBorders>
              <w:top w:val="single" w:sz="4" w:space="0" w:color="E0E0E0"/>
              <w:bottom w:val="single" w:sz="4" w:space="0" w:color="D9D9D9"/>
            </w:tcBorders>
            <w:shd w:val="clear" w:color="auto" w:fill="F4F1E6"/>
            <w:tcMar>
              <w:top w:w="80" w:type="dxa"/>
              <w:bottom w:w="80" w:type="dxa"/>
            </w:tcMar>
            <w:vAlign w:val="center"/>
          </w:tcPr>
          <w:p w14:paraId="6F1584D0" w14:textId="77777777" w:rsidR="00B44469" w:rsidRPr="00B44469" w:rsidRDefault="00B44469" w:rsidP="00B44469">
            <w:pPr>
              <w:spacing w:after="100" w:line="276" w:lineRule="auto"/>
              <w:jc w:val="center"/>
              <w:rPr>
                <w:rFonts w:ascii="Times New Roman" w:hAnsi="Times New Roman" w:cs="Times New Roman"/>
                <w:color w:val="111111"/>
                <w:sz w:val="19"/>
              </w:rPr>
            </w:pPr>
            <w:r w:rsidRPr="00B44469">
              <w:rPr>
                <w:rFonts w:ascii="Times New Roman" w:hAnsi="Times New Roman" w:cs="Times New Roman"/>
                <w:color w:val="111111"/>
                <w:sz w:val="19"/>
              </w:rPr>
              <w:t>Conectividad inestable en mercados techados</w:t>
            </w:r>
          </w:p>
        </w:tc>
        <w:tc>
          <w:tcPr>
            <w:tcW w:w="1200" w:type="dxa"/>
            <w:tcBorders>
              <w:top w:val="single" w:sz="4" w:space="0" w:color="E0E0E0"/>
              <w:bottom w:val="single" w:sz="4" w:space="0" w:color="D9D9D9"/>
            </w:tcBorders>
            <w:shd w:val="clear" w:color="auto" w:fill="F4F1E6"/>
            <w:tcMar>
              <w:top w:w="80" w:type="dxa"/>
              <w:bottom w:w="80" w:type="dxa"/>
            </w:tcMar>
            <w:vAlign w:val="center"/>
          </w:tcPr>
          <w:p w14:paraId="27951880"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Medio</w:t>
            </w:r>
          </w:p>
        </w:tc>
        <w:tc>
          <w:tcPr>
            <w:tcW w:w="3600" w:type="dxa"/>
            <w:tcBorders>
              <w:top w:val="single" w:sz="4" w:space="0" w:color="E0E0E0"/>
              <w:bottom w:val="single" w:sz="4" w:space="0" w:color="D9D9D9"/>
            </w:tcBorders>
            <w:shd w:val="clear" w:color="auto" w:fill="F4F1E6"/>
            <w:tcMar>
              <w:top w:w="80" w:type="dxa"/>
              <w:bottom w:w="80" w:type="dxa"/>
            </w:tcMar>
            <w:vAlign w:val="center"/>
          </w:tcPr>
          <w:p w14:paraId="1DD9A092"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Optimización de bundle JS con Vite, compresión de imágenes y cacheo local en frontend SPA.</w:t>
            </w:r>
          </w:p>
        </w:tc>
        <w:tc>
          <w:tcPr>
            <w:tcW w:w="2200" w:type="dxa"/>
            <w:tcBorders>
              <w:top w:val="single" w:sz="4" w:space="0" w:color="E0E0E0"/>
              <w:bottom w:val="single" w:sz="4" w:space="0" w:color="D9D9D9"/>
            </w:tcBorders>
            <w:shd w:val="clear" w:color="auto" w:fill="F4F1E6"/>
            <w:tcMar>
              <w:top w:w="80" w:type="dxa"/>
              <w:bottom w:w="80" w:type="dxa"/>
            </w:tcMar>
            <w:vAlign w:val="center"/>
          </w:tcPr>
          <w:p w14:paraId="40F1D21D" w14:textId="77777777" w:rsidR="00B44469" w:rsidRPr="00B44469" w:rsidRDefault="00B44469" w:rsidP="00B44469">
            <w:pPr>
              <w:spacing w:after="100" w:line="276" w:lineRule="auto"/>
              <w:rPr>
                <w:rFonts w:ascii="Times New Roman" w:hAnsi="Times New Roman" w:cs="Times New Roman"/>
                <w:color w:val="111111"/>
                <w:sz w:val="19"/>
              </w:rPr>
            </w:pPr>
            <w:r w:rsidRPr="00B44469">
              <w:rPr>
                <w:rFonts w:ascii="Times New Roman" w:hAnsi="Times New Roman" w:cs="Times New Roman"/>
                <w:color w:val="111111"/>
                <w:sz w:val="19"/>
              </w:rPr>
              <w:t>Rendimiento óptimo en 3G/4G.</w:t>
            </w:r>
          </w:p>
        </w:tc>
      </w:tr>
    </w:tbl>
    <w:p w14:paraId="2F021F54" w14:textId="77777777" w:rsidR="00B44469" w:rsidRDefault="00B44469" w:rsidP="00B44469">
      <w:pPr>
        <w:spacing w:after="120" w:line="276" w:lineRule="auto"/>
        <w:ind w:left="360"/>
      </w:pPr>
    </w:p>
    <w:p w14:paraId="7F78A244"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7.2 Lecciones Aprendidas en Ingeniería y Trabajo de Campo</w:t>
      </w:r>
    </w:p>
    <w:p w14:paraId="51F61937"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Desacoplamiento Arquitectónico: Separar el frontend SPA de la API REST backend permitió iterar sobre el diseño visual y la experiencia de usuario sin alterar la lógica de negocio ni la base de datos.</w:t>
      </w:r>
    </w:p>
    <w:p w14:paraId="69323F66"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lastRenderedPageBreak/>
        <w:t>• Empatía con el Usuario Real: Las pruebas presenciales en los mercados de Tacna demostraron que los comerciantes priorizan la rapidez de publicación por encima de opciones avanzadas de configuración.</w:t>
      </w:r>
    </w:p>
    <w:p w14:paraId="47B725E3"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Aseguramiento de Calidad desde el Diseño: Contar con 21 narrativas detalladas en el SRS y un catálogo formal de 63 pruebas redujo significativamente la aparición de defectos durante la construcción.</w:t>
      </w:r>
    </w:p>
    <w:p w14:paraId="58355CA4"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8. IMPACTO SOCIAL, ECONÓMICO Y AMBIENTAL LOGRADO EN TACNA</w:t>
      </w:r>
    </w:p>
    <w:p w14:paraId="122FDDFE" w14:textId="77777777" w:rsidR="00B44469" w:rsidRDefault="00B44469" w:rsidP="00B44469">
      <w:pPr>
        <w:spacing w:after="120" w:line="276" w:lineRule="auto"/>
        <w:ind w:left="360"/>
        <w:jc w:val="both"/>
        <w:rPr>
          <w:rFonts w:ascii="Times New Roman" w:hAnsi="Times New Roman" w:cs="Times New Roman"/>
          <w:color w:val="111111"/>
        </w:rPr>
      </w:pPr>
      <w:r w:rsidRPr="00B44469">
        <w:rPr>
          <w:rFonts w:ascii="Times New Roman" w:hAnsi="Times New Roman" w:cs="Times New Roman"/>
          <w:color w:val="111111"/>
        </w:rPr>
        <w:t>La implementación de ÓrbiKa aporta beneficios multidimensionales concretos para la región Tacna:</w:t>
      </w:r>
    </w:p>
    <w:p w14:paraId="516407A7"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Impacto Económico: Permite a pequeños comerciantes recuperar capital que anteriormente se perdía en mermas, proyectando recuperar más de S/ 8,400 en ingresos directos el primer año. Asimismo, brinda a las familias consumidoras un ahorro de hasta 50% en víveres de calidad.</w:t>
      </w:r>
    </w:p>
    <w:p w14:paraId="05867C38"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Impacto Ambiental: Se proyecta revalorizar aproximadamente 850 productos perecibles mensuales (más de 2.5 toneladas en el año 1), reduciendo sustancialmente la emisión de metano y lixiviados en botaderos municipales.</w:t>
      </w:r>
    </w:p>
    <w:p w14:paraId="13582F10"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Alineamiento con ODS: Cumple de forma demostrable con el ODS 2 (Hambre Cero) y el ODS 12 (Producción y Consumo Responsables).</w:t>
      </w:r>
    </w:p>
    <w:p w14:paraId="39122D90"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9. CONCLUSIONES Y RECOMENDACIONES</w:t>
      </w:r>
    </w:p>
    <w:p w14:paraId="096AC25C"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9.1 Conclusiones</w:t>
      </w:r>
    </w:p>
    <w:p w14:paraId="5FAEFD1D"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El proyecto ÓrbiKa concluye de forma exitosa su ciclo de Construcción de Software I, cumpliendo al 100% los requerimientos de ingeniería, la trazabilidad RUP y los estándares académicos de la Universidad Privada de Tacna.</w:t>
      </w:r>
    </w:p>
    <w:p w14:paraId="57313C7E"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El sistema desarrollado representa una solución tecnológica sólida, financieramente viable y socialmente pertinente para resolver la merma comercial en los centros de abastos de Tacna.</w:t>
      </w:r>
    </w:p>
    <w:p w14:paraId="16EA8A63"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La base de código y la arquitectura de componentes implementada garantizan un producto robusto, escalable y listo para su fase de pilotaje operativo.</w:t>
      </w:r>
    </w:p>
    <w:p w14:paraId="3ECBBEEC" w14:textId="77777777" w:rsidR="00B44469" w:rsidRDefault="00B44469" w:rsidP="00B44469">
      <w:pPr>
        <w:spacing w:after="100" w:line="276" w:lineRule="auto"/>
        <w:ind w:left="360"/>
        <w:rPr>
          <w:rFonts w:ascii="Times New Roman" w:hAnsi="Times New Roman" w:cs="Times New Roman"/>
          <w:b/>
          <w:color w:val="1E3A2B"/>
          <w:sz w:val="25"/>
        </w:rPr>
      </w:pPr>
      <w:r w:rsidRPr="00B44469">
        <w:rPr>
          <w:rFonts w:ascii="Times New Roman" w:hAnsi="Times New Roman" w:cs="Times New Roman"/>
          <w:b/>
          <w:color w:val="1E3A2B"/>
          <w:sz w:val="25"/>
        </w:rPr>
        <w:t>9.2 Recomendaciones</w:t>
      </w:r>
    </w:p>
    <w:p w14:paraId="29683E19"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Desplegar un plan piloto asistido en el Mercado Mayorista Grau durante las primeras 4 semanas para consolidar la masa crítica de vendedores iniciales.</w:t>
      </w:r>
    </w:p>
    <w:p w14:paraId="1F23212C"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Incorporar en el siguiente ciclo evolutivo la integración de billeteras digitales peruanas (Yape / Plin) para dinamizar las transacciones sin efectivo.</w:t>
      </w:r>
    </w:p>
    <w:p w14:paraId="21BC5187"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Fortalecer alianzas interinstitucionales con la Municipalidad Provincial de Tacna y la administración de mercados para incentivar la economía circular.</w:t>
      </w:r>
    </w:p>
    <w:p w14:paraId="509078E4" w14:textId="77777777" w:rsidR="00B44469" w:rsidRDefault="00B44469" w:rsidP="00B44469">
      <w:pPr>
        <w:spacing w:line="276" w:lineRule="auto"/>
        <w:ind w:left="360"/>
        <w:rPr>
          <w:rFonts w:ascii="Times New Roman" w:hAnsi="Times New Roman" w:cs="Times New Roman"/>
          <w:b/>
          <w:color w:val="1E3A2B"/>
          <w:sz w:val="28"/>
        </w:rPr>
      </w:pPr>
      <w:r w:rsidRPr="00B44469">
        <w:rPr>
          <w:rFonts w:ascii="Times New Roman" w:hAnsi="Times New Roman" w:cs="Times New Roman"/>
          <w:b/>
          <w:color w:val="1E3A2B"/>
          <w:sz w:val="28"/>
        </w:rPr>
        <w:t>10. REFERENCIAS BIBLIOGRÁFICAS Y ANEXOS TÉCNICOS</w:t>
      </w:r>
    </w:p>
    <w:p w14:paraId="517A9C4B"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Pressman, R. S., &amp; Maxim, B. R. (2020). Software Engineering: A Practitioner's Approach (9th ed.). McGraw-Hill Education.</w:t>
      </w:r>
    </w:p>
    <w:p w14:paraId="67CABE70"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xml:space="preserve">• Kruchten, P. (1995). Architectural Blueprints—The </w:t>
      </w:r>
    </w:p>
    <w:p w14:paraId="67F8BCAE"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Sommerville, I. (2016). Software Engineering (10th ed.). Pearson.</w:t>
      </w:r>
    </w:p>
    <w:p w14:paraId="4C6B51ED"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Organización de las Naciones Unidas para la Alimentación y la Agricultura - FAO (2022). Pérdidas y desperdicios de alimentos en América Latina.</w:t>
      </w:r>
    </w:p>
    <w:p w14:paraId="4C32CE75" w14:textId="77777777" w:rsidR="00B44469" w:rsidRDefault="00B44469" w:rsidP="00B44469">
      <w:pPr>
        <w:spacing w:after="60" w:line="270" w:lineRule="auto"/>
        <w:ind w:left="360"/>
        <w:jc w:val="both"/>
        <w:rPr>
          <w:rFonts w:ascii="Times New Roman" w:hAnsi="Times New Roman" w:cs="Times New Roman"/>
          <w:color w:val="111111"/>
          <w:sz w:val="21"/>
        </w:rPr>
      </w:pPr>
      <w:r w:rsidRPr="00B44469">
        <w:rPr>
          <w:rFonts w:ascii="Times New Roman" w:hAnsi="Times New Roman" w:cs="Times New Roman"/>
          <w:color w:val="111111"/>
          <w:sz w:val="21"/>
        </w:rPr>
        <w:t>• Repositorio Oficial de Código Fuente: orbika-app (Frontend React 18, Backend Express, Supabase PostgreSQL Migrations).</w:t>
      </w:r>
    </w:p>
    <w:p w14:paraId="542744C8" w14:textId="77777777" w:rsidR="00B44469" w:rsidRDefault="00B44469" w:rsidP="00B44469">
      <w:pPr>
        <w:spacing w:after="60" w:line="270" w:lineRule="auto"/>
        <w:ind w:left="360"/>
        <w:jc w:val="both"/>
      </w:pPr>
    </w:p>
    <w:sectPr w:rsidR="00B44469" w:rsidSect="00B44469">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3BB48" w14:textId="77777777" w:rsidR="00745DEE" w:rsidRDefault="00745DEE" w:rsidP="00B44469">
      <w:pPr>
        <w:spacing w:after="0" w:line="240" w:lineRule="auto"/>
      </w:pPr>
      <w:r>
        <w:separator/>
      </w:r>
    </w:p>
  </w:endnote>
  <w:endnote w:type="continuationSeparator" w:id="0">
    <w:p w14:paraId="5B434B53" w14:textId="77777777" w:rsidR="00745DEE" w:rsidRDefault="00745DEE" w:rsidP="00B44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CC752" w14:textId="77777777" w:rsidR="00B44469" w:rsidRDefault="00B4446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91499" w14:textId="77777777" w:rsidR="00B44469" w:rsidRPr="00B44469" w:rsidRDefault="00B44469" w:rsidP="00B44469">
    <w:pPr>
      <w:pStyle w:val="Piedepgina"/>
      <w:jc w:val="right"/>
      <w:rPr>
        <w:rFonts w:ascii="Times New Roman" w:hAnsi="Times New Roman" w:cs="Times New Roman"/>
        <w:color w:val="555555"/>
        <w:sz w:val="18"/>
      </w:rPr>
    </w:pPr>
    <w:r>
      <w:rPr>
        <w:rFonts w:ascii="Times New Roman" w:hAnsi="Times New Roman" w:cs="Times New Roman"/>
        <w:color w:val="555555"/>
        <w:sz w:val="18"/>
      </w:rPr>
      <w:t xml:space="preserve">Página </w:t>
    </w:r>
    <w:r>
      <w:rPr>
        <w:rFonts w:ascii="Times New Roman" w:hAnsi="Times New Roman" w:cs="Times New Roman"/>
        <w:color w:val="555555"/>
        <w:sz w:val="18"/>
      </w:rPr>
      <w:fldChar w:fldCharType="begin"/>
    </w:r>
    <w:r>
      <w:rPr>
        <w:rFonts w:ascii="Times New Roman" w:hAnsi="Times New Roman" w:cs="Times New Roman"/>
        <w:color w:val="555555"/>
        <w:sz w:val="18"/>
      </w:rPr>
      <w:instrText xml:space="preserve"> PAGE  \* MERGEFORMAT </w:instrText>
    </w:r>
    <w:r>
      <w:rPr>
        <w:rFonts w:ascii="Times New Roman" w:hAnsi="Times New Roman" w:cs="Times New Roman"/>
        <w:color w:val="555555"/>
        <w:sz w:val="18"/>
      </w:rPr>
      <w:fldChar w:fldCharType="separate"/>
    </w:r>
    <w:r>
      <w:rPr>
        <w:rFonts w:ascii="Times New Roman" w:hAnsi="Times New Roman" w:cs="Times New Roman"/>
        <w:noProof/>
        <w:color w:val="555555"/>
        <w:sz w:val="18"/>
      </w:rPr>
      <w:t>1</w:t>
    </w:r>
    <w:r>
      <w:rPr>
        <w:rFonts w:ascii="Times New Roman" w:hAnsi="Times New Roman" w:cs="Times New Roman"/>
        <w:color w:val="55555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13BC5" w14:textId="77777777" w:rsidR="00B44469" w:rsidRDefault="00B444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6F9EB" w14:textId="77777777" w:rsidR="00745DEE" w:rsidRDefault="00745DEE" w:rsidP="00B44469">
      <w:pPr>
        <w:spacing w:after="0" w:line="240" w:lineRule="auto"/>
      </w:pPr>
      <w:r>
        <w:separator/>
      </w:r>
    </w:p>
  </w:footnote>
  <w:footnote w:type="continuationSeparator" w:id="0">
    <w:p w14:paraId="149B4CB0" w14:textId="77777777" w:rsidR="00745DEE" w:rsidRDefault="00745DEE" w:rsidP="00B44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93864" w14:textId="77777777" w:rsidR="00B44469" w:rsidRDefault="00B4446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BCA84" w14:textId="77777777" w:rsidR="00B44469" w:rsidRPr="00B44469" w:rsidRDefault="00B44469">
    <w:pPr>
      <w:pStyle w:val="Encabezado"/>
      <w:rPr>
        <w:rFonts w:ascii="Times New Roman" w:hAnsi="Times New Roman" w:cs="Times New Roman"/>
        <w:color w:val="555555"/>
        <w:sz w:val="17"/>
      </w:rPr>
    </w:pPr>
    <w:r w:rsidRPr="00B44469">
      <w:rPr>
        <w:rFonts w:ascii="Times New Roman" w:hAnsi="Times New Roman" w:cs="Times New Roman"/>
        <w:color w:val="555555"/>
        <w:sz w:val="17"/>
      </w:rPr>
      <w:t>ÓrbiKa — FD05 Informe Final de Construcción de Software | UPT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7D36" w14:textId="77777777" w:rsidR="00B44469" w:rsidRDefault="00B4446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469"/>
    <w:rsid w:val="004073B0"/>
    <w:rsid w:val="00745DEE"/>
    <w:rsid w:val="008D3BEE"/>
    <w:rsid w:val="00B444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71D3"/>
  <w15:chartTrackingRefBased/>
  <w15:docId w15:val="{6F12B98F-BA66-4F8B-9C84-A819E839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444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4469"/>
  </w:style>
  <w:style w:type="paragraph" w:styleId="Piedepgina">
    <w:name w:val="footer"/>
    <w:basedOn w:val="Normal"/>
    <w:link w:val="PiedepginaCar"/>
    <w:uiPriority w:val="99"/>
    <w:unhideWhenUsed/>
    <w:rsid w:val="00B444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4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3063</Words>
  <Characters>16847</Characters>
  <Application>Microsoft Office Word</Application>
  <DocSecurity>0</DocSecurity>
  <Lines>140</Lines>
  <Paragraphs>39</Paragraphs>
  <ScaleCrop>false</ScaleCrop>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Loyola Vilca</dc:creator>
  <cp:keywords/>
  <dc:description/>
  <cp:lastModifiedBy>Renzo Loyola Vilca</cp:lastModifiedBy>
  <cp:revision>3</cp:revision>
  <dcterms:created xsi:type="dcterms:W3CDTF">2026-10-04T02:40:00Z</dcterms:created>
  <dcterms:modified xsi:type="dcterms:W3CDTF">2026-10-04T02:56:00Z</dcterms:modified>
</cp:coreProperties>
</file>