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50DB" w:rsidRDefault="004450DB" w:rsidP="004450DB">
      <w:pPr>
        <w:spacing w:after="60" w:line="276" w:lineRule="auto"/>
        <w:jc w:val="center"/>
        <w:rPr>
          <w:rFonts w:ascii="Times New Roman" w:hAnsi="Times New Roman" w:cs="Times New Roman"/>
          <w:b/>
          <w:color w:val="1E3A2B"/>
          <w:sz w:val="36"/>
        </w:rPr>
      </w:pPr>
      <w:r w:rsidRPr="004450DB">
        <w:rPr>
          <w:rFonts w:ascii="Times New Roman" w:hAnsi="Times New Roman" w:cs="Times New Roman"/>
          <w:b/>
          <w:color w:val="1E3A2B"/>
          <w:sz w:val="36"/>
        </w:rPr>
        <w:t>UNIVERSIDAD PRIVADA DE TACNA</w:t>
      </w:r>
    </w:p>
    <w:p w:rsidR="004450DB" w:rsidRDefault="004450DB" w:rsidP="004450DB">
      <w:pPr>
        <w:spacing w:after="60" w:line="276" w:lineRule="auto"/>
        <w:jc w:val="center"/>
        <w:rPr>
          <w:rFonts w:ascii="Times New Roman" w:hAnsi="Times New Roman" w:cs="Times New Roman"/>
          <w:b/>
          <w:color w:val="1E3A2B"/>
          <w:sz w:val="30"/>
        </w:rPr>
      </w:pPr>
      <w:r w:rsidRPr="004450DB">
        <w:rPr>
          <w:rFonts w:ascii="Times New Roman" w:hAnsi="Times New Roman" w:cs="Times New Roman"/>
          <w:b/>
          <w:color w:val="1E3A2B"/>
          <w:sz w:val="30"/>
        </w:rPr>
        <w:t>FACULTAD DE INGENIERÍA</w:t>
      </w:r>
    </w:p>
    <w:p w:rsidR="004450DB" w:rsidRDefault="004450DB" w:rsidP="004450DB">
      <w:pPr>
        <w:spacing w:after="720" w:line="276" w:lineRule="auto"/>
        <w:jc w:val="center"/>
        <w:rPr>
          <w:rFonts w:ascii="Times New Roman" w:hAnsi="Times New Roman" w:cs="Times New Roman"/>
          <w:b/>
          <w:color w:val="444444"/>
          <w:sz w:val="26"/>
        </w:rPr>
      </w:pPr>
      <w:r w:rsidRPr="004450DB">
        <w:rPr>
          <w:rFonts w:ascii="Times New Roman" w:hAnsi="Times New Roman" w:cs="Times New Roman"/>
          <w:b/>
          <w:color w:val="444444"/>
          <w:sz w:val="26"/>
        </w:rPr>
        <w:t>Escuela Profesional de Ingeniería de Sistemas</w:t>
      </w:r>
    </w:p>
    <w:p w:rsidR="004450DB" w:rsidRDefault="004450DB" w:rsidP="004450DB">
      <w:pPr>
        <w:spacing w:after="80" w:line="276" w:lineRule="auto"/>
        <w:jc w:val="center"/>
        <w:rPr>
          <w:rFonts w:ascii="Times New Roman" w:hAnsi="Times New Roman" w:cs="Times New Roman"/>
          <w:b/>
          <w:color w:val="555555"/>
        </w:rPr>
      </w:pPr>
      <w:r w:rsidRPr="004450DB">
        <w:rPr>
          <w:rFonts w:ascii="Times New Roman" w:hAnsi="Times New Roman" w:cs="Times New Roman"/>
          <w:b/>
          <w:color w:val="555555"/>
        </w:rPr>
        <w:t>PROYECTO:</w:t>
      </w:r>
    </w:p>
    <w:p w:rsidR="004450DB" w:rsidRDefault="004450DB" w:rsidP="004450DB">
      <w:pPr>
        <w:spacing w:after="360" w:line="276" w:lineRule="auto"/>
        <w:jc w:val="center"/>
        <w:rPr>
          <w:rFonts w:ascii="Times New Roman" w:hAnsi="Times New Roman" w:cs="Times New Roman"/>
          <w:b/>
          <w:color w:val="1E3A2B"/>
          <w:sz w:val="29"/>
        </w:rPr>
      </w:pPr>
      <w:r w:rsidRPr="004450DB">
        <w:rPr>
          <w:rFonts w:ascii="Times New Roman" w:hAnsi="Times New Roman" w:cs="Times New Roman"/>
          <w:b/>
          <w:color w:val="1E3A2B"/>
          <w:sz w:val="29"/>
        </w:rPr>
        <w:t>«Plataforma web para la comercialización y revalorización de productos perecibles orientada al consumo sostenible en la provincia de Tacna»</w:t>
      </w:r>
    </w:p>
    <w:p w:rsidR="004450DB" w:rsidRDefault="004450DB" w:rsidP="004450DB">
      <w:pPr>
        <w:spacing w:after="60" w:line="276" w:lineRule="auto"/>
        <w:jc w:val="center"/>
        <w:rPr>
          <w:rFonts w:ascii="Times New Roman" w:hAnsi="Times New Roman" w:cs="Times New Roman"/>
          <w:b/>
          <w:color w:val="333333"/>
          <w:sz w:val="26"/>
        </w:rPr>
      </w:pPr>
      <w:r w:rsidRPr="004450DB">
        <w:rPr>
          <w:rFonts w:ascii="Times New Roman" w:hAnsi="Times New Roman" w:cs="Times New Roman"/>
          <w:b/>
          <w:color w:val="333333"/>
          <w:sz w:val="26"/>
        </w:rPr>
        <w:t>FORMATO FD06</w:t>
      </w:r>
    </w:p>
    <w:p w:rsidR="004450DB" w:rsidRDefault="004450DB" w:rsidP="004450DB">
      <w:pPr>
        <w:spacing w:after="600" w:line="276" w:lineRule="auto"/>
        <w:jc w:val="center"/>
        <w:rPr>
          <w:rFonts w:ascii="Times New Roman" w:hAnsi="Times New Roman" w:cs="Times New Roman"/>
          <w:b/>
          <w:color w:val="1E3A2B"/>
          <w:sz w:val="33"/>
        </w:rPr>
      </w:pPr>
      <w:r w:rsidRPr="004450DB">
        <w:rPr>
          <w:rFonts w:ascii="Times New Roman" w:hAnsi="Times New Roman" w:cs="Times New Roman"/>
          <w:b/>
          <w:color w:val="1E3A2B"/>
          <w:sz w:val="33"/>
        </w:rPr>
        <w:t>PROPUESTA FINAL DEL PROYECTO DE CONSTRUCCIÓN DE SOFTWARE</w:t>
      </w:r>
    </w:p>
    <w:p w:rsidR="004450DB" w:rsidRDefault="004450DB" w:rsidP="004450DB">
      <w:pPr>
        <w:spacing w:after="40" w:line="276" w:lineRule="auto"/>
        <w:jc w:val="center"/>
        <w:rPr>
          <w:rFonts w:ascii="Times New Roman" w:hAnsi="Times New Roman" w:cs="Times New Roman"/>
          <w:b/>
          <w:color w:val="333333"/>
        </w:rPr>
      </w:pPr>
      <w:r w:rsidRPr="004450DB">
        <w:rPr>
          <w:rFonts w:ascii="Times New Roman" w:hAnsi="Times New Roman" w:cs="Times New Roman"/>
          <w:b/>
          <w:color w:val="333333"/>
        </w:rPr>
        <w:t>Curso:</w:t>
      </w:r>
    </w:p>
    <w:p w:rsidR="004450DB" w:rsidRDefault="004450DB" w:rsidP="004450DB">
      <w:pPr>
        <w:spacing w:after="280" w:line="276" w:lineRule="auto"/>
        <w:jc w:val="center"/>
        <w:rPr>
          <w:rFonts w:ascii="Times New Roman" w:hAnsi="Times New Roman" w:cs="Times New Roman"/>
          <w:color w:val="111111"/>
          <w:sz w:val="26"/>
        </w:rPr>
      </w:pPr>
      <w:r w:rsidRPr="004450DB">
        <w:rPr>
          <w:rFonts w:ascii="Times New Roman" w:hAnsi="Times New Roman" w:cs="Times New Roman"/>
          <w:color w:val="111111"/>
          <w:sz w:val="26"/>
        </w:rPr>
        <w:t>Construcción de Software I (SI-083)</w:t>
      </w:r>
    </w:p>
    <w:p w:rsidR="004450DB" w:rsidRDefault="004450DB" w:rsidP="004450DB">
      <w:pPr>
        <w:spacing w:after="40" w:line="276" w:lineRule="auto"/>
        <w:jc w:val="center"/>
        <w:rPr>
          <w:rFonts w:ascii="Times New Roman" w:hAnsi="Times New Roman" w:cs="Times New Roman"/>
          <w:b/>
          <w:color w:val="333333"/>
        </w:rPr>
      </w:pPr>
      <w:r w:rsidRPr="004450DB">
        <w:rPr>
          <w:rFonts w:ascii="Times New Roman" w:hAnsi="Times New Roman" w:cs="Times New Roman"/>
          <w:b/>
          <w:color w:val="333333"/>
        </w:rPr>
        <w:t>Docente Evaluador:</w:t>
      </w:r>
    </w:p>
    <w:p w:rsidR="004450DB" w:rsidRDefault="004450DB" w:rsidP="004450DB">
      <w:pPr>
        <w:spacing w:after="400" w:line="276" w:lineRule="auto"/>
        <w:jc w:val="center"/>
        <w:rPr>
          <w:rFonts w:ascii="Times New Roman" w:hAnsi="Times New Roman" w:cs="Times New Roman"/>
          <w:color w:val="111111"/>
          <w:sz w:val="26"/>
        </w:rPr>
      </w:pPr>
      <w:r w:rsidRPr="004450DB">
        <w:rPr>
          <w:rFonts w:ascii="Times New Roman" w:hAnsi="Times New Roman" w:cs="Times New Roman"/>
          <w:color w:val="111111"/>
          <w:sz w:val="26"/>
        </w:rPr>
        <w:t>MAG. RICARDO EDUARDO VALCARCEL ALVARADO</w:t>
      </w:r>
    </w:p>
    <w:p w:rsidR="004450DB" w:rsidRDefault="004450DB" w:rsidP="004450DB">
      <w:pPr>
        <w:spacing w:after="80" w:line="276" w:lineRule="auto"/>
        <w:jc w:val="center"/>
        <w:rPr>
          <w:rFonts w:ascii="Times New Roman" w:hAnsi="Times New Roman" w:cs="Times New Roman"/>
          <w:b/>
          <w:color w:val="333333"/>
        </w:rPr>
      </w:pPr>
      <w:r w:rsidRPr="004450DB">
        <w:rPr>
          <w:rFonts w:ascii="Times New Roman" w:hAnsi="Times New Roman" w:cs="Times New Roman"/>
          <w:b/>
          <w:color w:val="333333"/>
        </w:rPr>
        <w:t>Integrantes del Equipo de Desarrollo (Grupo G01):</w:t>
      </w:r>
    </w:p>
    <w:p w:rsidR="004450DB" w:rsidRDefault="004450DB" w:rsidP="004450DB">
      <w:pPr>
        <w:spacing w:after="60" w:line="276" w:lineRule="auto"/>
        <w:jc w:val="center"/>
        <w:rPr>
          <w:rFonts w:ascii="Times New Roman" w:hAnsi="Times New Roman" w:cs="Times New Roman"/>
          <w:color w:val="111111"/>
          <w:sz w:val="24"/>
        </w:rPr>
      </w:pPr>
      <w:r w:rsidRPr="004450DB">
        <w:rPr>
          <w:rFonts w:ascii="Times New Roman" w:hAnsi="Times New Roman" w:cs="Times New Roman"/>
          <w:color w:val="111111"/>
          <w:sz w:val="24"/>
        </w:rPr>
        <w:t>Loyola Vilca, Renzo Fernando    (Código: 2021072615)</w:t>
      </w:r>
    </w:p>
    <w:p w:rsidR="004450DB" w:rsidRDefault="004450DB" w:rsidP="004450DB">
      <w:pPr>
        <w:spacing w:after="760" w:line="276" w:lineRule="auto"/>
        <w:jc w:val="center"/>
        <w:rPr>
          <w:rFonts w:ascii="Times New Roman" w:hAnsi="Times New Roman" w:cs="Times New Roman"/>
          <w:color w:val="111111"/>
          <w:sz w:val="24"/>
        </w:rPr>
      </w:pPr>
      <w:r w:rsidRPr="004450DB">
        <w:rPr>
          <w:rFonts w:ascii="Times New Roman" w:hAnsi="Times New Roman" w:cs="Times New Roman"/>
          <w:color w:val="111111"/>
          <w:sz w:val="24"/>
        </w:rPr>
        <w:t>Brant Antony Chata Choque    (Código: 2020067577)</w:t>
      </w:r>
    </w:p>
    <w:p w:rsidR="004450DB" w:rsidRDefault="004450DB" w:rsidP="004450DB">
      <w:pPr>
        <w:spacing w:after="40" w:line="276" w:lineRule="auto"/>
        <w:jc w:val="center"/>
        <w:rPr>
          <w:rFonts w:ascii="Times New Roman" w:hAnsi="Times New Roman" w:cs="Times New Roman"/>
          <w:b/>
          <w:color w:val="333333"/>
          <w:sz w:val="24"/>
        </w:rPr>
      </w:pPr>
      <w:r w:rsidRPr="004450DB">
        <w:rPr>
          <w:rFonts w:ascii="Times New Roman" w:hAnsi="Times New Roman" w:cs="Times New Roman"/>
          <w:b/>
          <w:color w:val="333333"/>
          <w:sz w:val="24"/>
        </w:rPr>
        <w:t>Tacna - Perú</w:t>
      </w:r>
    </w:p>
    <w:p w:rsidR="004450DB" w:rsidRDefault="004450DB" w:rsidP="004450DB">
      <w:pPr>
        <w:spacing w:after="0" w:line="276" w:lineRule="auto"/>
        <w:jc w:val="center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2026</w:t>
      </w:r>
    </w:p>
    <w:p w:rsidR="004450DB" w:rsidRDefault="004450DB">
      <w:r>
        <w:br w:type="page"/>
      </w:r>
    </w:p>
    <w:p w:rsidR="004450DB" w:rsidRDefault="004450DB" w:rsidP="004450DB">
      <w:pPr>
        <w:spacing w:line="276" w:lineRule="auto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CONTROL DE VERSIONES Y APROBACIONES</w:t>
      </w:r>
    </w:p>
    <w:p w:rsidR="004450DB" w:rsidRDefault="004450DB" w:rsidP="004450DB">
      <w:pPr>
        <w:spacing w:after="120" w:line="276" w:lineRule="auto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El presente cuadro registra las revisiones y evaluaciones formales aplicadas al documento de Propuesta Final del proyecto ÓrbiKa: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200"/>
        <w:gridCol w:w="1200"/>
        <w:gridCol w:w="1200"/>
        <w:gridCol w:w="36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Versión</w:t>
            </w:r>
          </w:p>
        </w:tc>
        <w:tc>
          <w:tcPr>
            <w:tcW w:w="13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Elaborado por</w:t>
            </w:r>
          </w:p>
        </w:tc>
        <w:tc>
          <w:tcPr>
            <w:tcW w:w="1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Revisado por</w:t>
            </w:r>
          </w:p>
        </w:tc>
        <w:tc>
          <w:tcPr>
            <w:tcW w:w="1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Fecha</w:t>
            </w:r>
          </w:p>
        </w:tc>
        <w:tc>
          <w:tcPr>
            <w:tcW w:w="36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Motivo de la Propuesta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1.0</w:t>
            </w:r>
          </w:p>
        </w:tc>
        <w:tc>
          <w:tcPr>
            <w:tcW w:w="13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BACC, RFLV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20/07/2026</w:t>
            </w:r>
          </w:p>
        </w:tc>
        <w:tc>
          <w:tcPr>
            <w:tcW w:w="3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Propuesta inicial preliminar de transferencia técnica y comercial.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2.0</w:t>
            </w:r>
          </w:p>
        </w:tc>
        <w:tc>
          <w:tcPr>
            <w:tcW w:w="13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BACC, RFLV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15/09/2026</w:t>
            </w:r>
          </w:p>
        </w:tc>
        <w:tc>
          <w:tcPr>
            <w:tcW w:w="3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Revisión con modelo de negocio Canvas, SLA y plan de pilotaje distrital.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3.0</w:t>
            </w:r>
          </w:p>
        </w:tc>
        <w:tc>
          <w:tcPr>
            <w:tcW w:w="13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BACC, RFLV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REVA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28/09/2026</w:t>
            </w:r>
          </w:p>
        </w:tc>
        <w:tc>
          <w:tcPr>
            <w:tcW w:w="36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2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Propuesta Final consolidada con plan de despliegue operativo, viabilidad financiera y roadmap 2026-2028.</w:t>
            </w:r>
          </w:p>
        </w:tc>
      </w:tr>
    </w:tbl>
    <w:p w:rsidR="004450DB" w:rsidRDefault="004450DB" w:rsidP="004450DB">
      <w:pPr>
        <w:spacing w:after="120" w:line="276" w:lineRule="auto"/>
        <w:jc w:val="both"/>
      </w:pPr>
    </w:p>
    <w:p w:rsidR="004450DB" w:rsidRDefault="004450DB" w:rsidP="004450DB">
      <w:pPr>
        <w:spacing w:line="276" w:lineRule="auto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ÍNDICE GENERAL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1. RESUMEN EJECUTIVO DE LA PROPUESTA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1.1 Objeto y Propósito de la Propuesta Final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1.2 Declaración de Compromiso y Madurez de la Solución ÓrbiKa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2. DIAGNÓSTICO ESTRATÉGICO Y OPORTUNIDAD DE MERCADO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2.1 Problemática en los Mercados de Abastos de Tacna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2.2 Diagnóstico: Situación Actual vs. Situación Propuesta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2.3 Alineamiento Estratégico con los Objetivos de Desarrollo Sostenible (ODS)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3. PROPUESTA DE VALOR Y MODELO DE NEGOCIO INTEGRAL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3.1 Propuesta de Valor Diferenciada (Compradores, Vendedores, Comunidad)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3.2 Business Model Canvas Detallado de ÓrbiKa Tacna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3.3 Esquema de Monetización y Sostenibilidad Financiera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3.4 Proyecciones Financieras de Ingresos y Flujo de Caja a 3 Años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4. ESPECIFICACIÓN TÉCNICA Y ARQUITECTURA DE LA SOLUCIÓN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4.1 Alcance Funcional Entregado (Módulos y 21 Casos de Uso)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4.2 Arquitectura Cloud, Frontend SPA y Backend REST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4.3 Mecanismos de Seguridad, Protección de Datos y Cifrado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5. PLAN INTEGRAL DE DESPLIEGUE, PUESTA EN MARCHA Y OPERACIÓN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5.1 Estrategia de Lanzamiento en Tres Fases Progresivas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5.2 Plan de Capacitación y Onboarding Asistido para Comerciantes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5.3 Acuerdos de Nivel de Servicio (SLA) y Soporte Técnico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5.4 Política de Mantenimiento Integral del Sistema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6. PROPUESTA ECONÓMICA, PRESUPUESTO Y RENTABILIDAD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6.1 Inversión Inicial Requerida (S/ 16,773.16)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6.2 Presupuesto Operativo Anual (OPEX)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6.3 Indicadores Financieros de Retorno (VAN, TIR, B/C, Payback)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6.4 Análisis de Sensibilidad (Escenarios Optimista, Moderado y Pesimista)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7. GESTIÓN DE RIESGOS Y CUMPLIMIENTO REGULATORIO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7.1 Matriz de Riesgos Operativos, Tecnológicos y Sanitarios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 xml:space="preserve">    7.2 Cumplimiento Legal (Protección de Datos, Consumidor e Inocuidad)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8. PLAN DE ESCALABILIDAD Y HOJA DE RUTA TECNOLÓGICA (ROADMAP 2026-2028)</w:t>
      </w:r>
    </w:p>
    <w:p w:rsidR="004450DB" w:rsidRPr="004450DB" w:rsidRDefault="004450DB" w:rsidP="004450DB">
      <w:pPr>
        <w:spacing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9. CONCLUSIONES Y RECOMENDACIÓN DE IMPLEMENTACIÓN</w:t>
      </w:r>
    </w:p>
    <w:p w:rsidR="004450DB" w:rsidRDefault="004450DB" w:rsidP="004450DB">
      <w:pPr>
        <w:spacing w:after="280" w:line="276" w:lineRule="auto"/>
        <w:rPr>
          <w:rFonts w:ascii="Times New Roman" w:hAnsi="Times New Roman" w:cs="Times New Roman"/>
          <w:color w:val="222222"/>
          <w:sz w:val="20"/>
        </w:rPr>
      </w:pPr>
      <w:r w:rsidRPr="004450DB">
        <w:rPr>
          <w:rFonts w:ascii="Times New Roman" w:hAnsi="Times New Roman" w:cs="Times New Roman"/>
          <w:color w:val="222222"/>
          <w:sz w:val="20"/>
        </w:rPr>
        <w:t>10. ACTA DE ACEPTACIÓN, COMPROMISO Y FIRMAS</w:t>
      </w:r>
    </w:p>
    <w:p w:rsidR="004450DB" w:rsidRDefault="004450DB">
      <w:r>
        <w:br w:type="page"/>
      </w:r>
    </w:p>
    <w:p w:rsidR="004450DB" w:rsidRDefault="004450DB" w:rsidP="004450DB">
      <w:pPr>
        <w:spacing w:line="276" w:lineRule="auto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1. RESUMEN EJECUTIVO DE LA PROPUESTA</w:t>
      </w:r>
    </w:p>
    <w:p w:rsidR="004450DB" w:rsidRDefault="004450DB" w:rsidP="004450DB">
      <w:pPr>
        <w:spacing w:after="100" w:line="276" w:lineRule="auto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1.1 Objeto y Propósito de la Propuesta Final</w:t>
      </w:r>
    </w:p>
    <w:p w:rsidR="004450DB" w:rsidRDefault="004450DB" w:rsidP="004450DB">
      <w:pPr>
        <w:spacing w:after="120" w:line="276" w:lineRule="auto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El presente documento formaliza la Propuesta Final (FD06) del proyecto ÓrbiKa para su adopción, despliegue operativo y transferencia en la provincia de Tacna. Integra las dimensiones técnica, operacional, comercial, financiera y regulatoria necesarias para transformar la solución de software desarrollada en una plataforma productiva autosustentable que reduzca el desperdicio de alimentos y dinamice la economía local.</w:t>
      </w:r>
    </w:p>
    <w:p w:rsidR="004450DB" w:rsidRDefault="004450DB" w:rsidP="004450DB">
      <w:pPr>
        <w:spacing w:after="100" w:line="276" w:lineRule="auto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1.2 Declaración de Compromiso y Madurez de la Solución ÓrbiKa</w:t>
      </w:r>
    </w:p>
    <w:p w:rsidR="004450DB" w:rsidRDefault="004450DB" w:rsidP="004450DB">
      <w:pPr>
        <w:spacing w:after="120" w:line="276" w:lineRule="auto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El equipo de ingeniería entrega un producto de software con un nivel de preparación Release Pre-v1.0.0, respaldado por una base de código estructurada (orbika-app), una arquitectura cliente-servidor probada en la nube (React 18 + Node.js + Supabase PostgreSQL) y un plan de verificación integral de 63 casos de prueba concluidos satisfactoriamente. La solución no solo es viable a nivel de prototipo de laboratorio, sino que se encuentra técnicamente preparada para iniciar su fase piloto en mercados de abastos reales.</w:t>
      </w:r>
    </w:p>
    <w:p w:rsidR="004450DB" w:rsidRDefault="004450DB" w:rsidP="004450DB">
      <w:pPr>
        <w:spacing w:line="276" w:lineRule="auto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2. DIAGNÓSTICO ESTRATÉGICO Y OPORTUNIDAD DE MERCADO</w:t>
      </w:r>
    </w:p>
    <w:p w:rsidR="004450DB" w:rsidRDefault="004450DB" w:rsidP="004450DB">
      <w:pPr>
        <w:spacing w:after="100" w:line="276" w:lineRule="auto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2.1 Problemática en los Mercados de Abastos de Tacna</w:t>
      </w:r>
    </w:p>
    <w:p w:rsidR="004450DB" w:rsidRDefault="004450DB" w:rsidP="004450DB">
      <w:pPr>
        <w:spacing w:after="120" w:line="276" w:lineRule="auto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En los centros de abastecimiento de la provincia de Tacna (Mercado Mayorista Grau, Mercado Central, Mercado Dos de Mayo, mercadillos de Gregorio Albarracín y Alto de la Alianza), se desechan diariamente toneladas de productos perecibles (frutas, verduras, panadería, lácteos y alimentos preparados) debido a la falta de rotación comercial oportuna. Esta merma genera cuantiosas pérdidas financieras a los comerciantes e incrementa el costo municipal de recojo y disposición final de residuos orgánicos.</w:t>
      </w:r>
    </w:p>
    <w:p w:rsidR="004450DB" w:rsidRDefault="004450DB" w:rsidP="004450DB">
      <w:pPr>
        <w:spacing w:after="100" w:line="276" w:lineRule="auto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2.2 Diagnóstico: Situación Actual vs. Situación Propuesta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8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Dimensión Operativa</w:t>
            </w:r>
          </w:p>
        </w:tc>
        <w:tc>
          <w:tcPr>
            <w:tcW w:w="3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Situación Actual (Sin ÓrbiKa)</w:t>
            </w:r>
          </w:p>
        </w:tc>
        <w:tc>
          <w:tcPr>
            <w:tcW w:w="38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Situación Propuesta (Con ÓrbiKa)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Gestión de excedentes</w:t>
            </w:r>
          </w:p>
        </w:tc>
        <w:tc>
          <w:tcPr>
            <w:tcW w:w="3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Pérdida como residuo o remate verbal a última hora sin alcance masivo.</w:t>
            </w:r>
          </w:p>
        </w:tc>
        <w:tc>
          <w:tcPr>
            <w:tcW w:w="3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Publicación digital en minutos con descuentos progresivos automatizados.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Acceso a víveres económicos</w:t>
            </w:r>
          </w:p>
        </w:tc>
        <w:tc>
          <w:tcPr>
            <w:tcW w:w="3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Consumidores deben recorrer físicamente múltiples puestos esperando ofertas.</w:t>
            </w:r>
          </w:p>
        </w:tc>
        <w:tc>
          <w:tcPr>
            <w:tcW w:w="3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Búsqueda centralizada con filtros por distrito, categoría y cercanía de vencimiento.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Seguridad transaccional</w:t>
            </w:r>
          </w:p>
        </w:tc>
        <w:tc>
          <w:tcPr>
            <w:tcW w:w="3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Informalidad total, pagos en efectivo sin registro ni garantía de reserva.</w:t>
            </w:r>
          </w:p>
        </w:tc>
        <w:tc>
          <w:tcPr>
            <w:tcW w:w="3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Reserva atómica de stock en tiempo real y reputación verificada por estrellas.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Medición de impacto ambiental</w:t>
            </w:r>
          </w:p>
        </w:tc>
        <w:tc>
          <w:tcPr>
            <w:tcW w:w="3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Desconocimiento absoluto del volumen de alimentos desechados.</w:t>
            </w:r>
          </w:p>
        </w:tc>
        <w:tc>
          <w:tcPr>
            <w:tcW w:w="38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Indicadores en tiempo real de kilogramos revalorizados y toneladas de CO2 evitadas.</w:t>
            </w:r>
          </w:p>
        </w:tc>
      </w:tr>
    </w:tbl>
    <w:p w:rsidR="004450DB" w:rsidRDefault="004450DB" w:rsidP="004450DB">
      <w:pPr>
        <w:spacing w:after="120" w:line="276" w:lineRule="auto"/>
      </w:pPr>
    </w:p>
    <w:p w:rsidR="004450DB" w:rsidRDefault="004450DB" w:rsidP="004450DB">
      <w:pPr>
        <w:spacing w:after="100" w:line="276" w:lineRule="auto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2.3 Alineamiento Estratégico con los Objetivos de Desarrollo Sostenible (ODS)</w:t>
      </w:r>
    </w:p>
    <w:p w:rsidR="004450DB" w:rsidRDefault="004450DB" w:rsidP="004450DB">
      <w:pPr>
        <w:spacing w:after="120" w:line="276" w:lineRule="auto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ÓrbiKa se alinea con la Agenda 2030 de la ONU: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ODS 2 (Hambre Cero): Facilita el acceso a alimentos frescos y procesados de alta calidad con descuentos del 30% al 50% para familias de sectores vulnerables.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ODS 12 (Producción y Consumo Responsable): Reduce la generación de residuos sólidos orgánicos mediante la revalorización de excedentes en la cadena minorista.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3. PROPUESTA DE VALOR Y MODELO DE NEGOCIO INTEGRAL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3.1 Propuesta de Valor Diferenciada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Para Compradores: Ahorro familiar sustancial en alimentos esenciales, acceso a información transparente de caducidad y posibilidad de contribuir activamente a la sostenibilidad ambiental.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Para Vendedores: Recuperación de capital invertido en mercadería perecible, reducción drástica de mermas comerciales, mayor rotación de clientes y fidelización mediante un canal digital asistido.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Para la Comunidad y la Ciudad: Disminución de residuos sólidos orgánicos en los vertederos municipales de Tacna, menor emisión de gases de efecto invernadero y fomento del consumo circular consciente.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3.2 Business Model Canvas Detallado de ÓrbiKa Tacna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Bloque Canvas</w:t>
            </w:r>
          </w:p>
        </w:tc>
        <w:tc>
          <w:tcPr>
            <w:tcW w:w="70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Descripción y Aplicación Estratégica en ÓrbiKa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Segmentos de Clientes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Compradores: Familias, jóvenes y trabajadores que buscan ahorro. Vendedores: Comerciantes de abastos, bodegas, panaderías y locales gastronómicos de Tacna.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Propuesta de Valor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Marketplace digital que rescata alimentos aptos para el consumo con descuentos asistidos, trazabilidad de caducidad y analítica de impacto ecológico.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Canales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Plataforma web responsive universal (accesible desde móvil/PC), redes sociales, WhatsApp Business y módulos de atención presencial en mercados.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Relación con Clientes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Asistida y cercana para comerciantes tradicionales; autoservicio ágil y transparente para compradores mediante catálogo intuitivo y calificaciones.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Fuentes de Ingresos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1) Comisión del 5% sobre transacciones completadas. 2) Plan de Suscripción Premium para Vendedores (S/ 29.90/mes) con analítica y posicionamiento destacado.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Recursos Clave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Plataforma web cloud (frontend React, API Node.js, BD Supabase), algoritmo de descuento dinámico, personal de soporte y acuerdos con mercados.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Actividades Clave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Mantenimiento y evolución de software, soporte y onboarding a comerciantes, moderación de publicaciones, monitoreo de métricas de impacto.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Alianzas Clave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Juntas directivas de los mercados Grau, Central y Ciudad Nueva, asociaciones de comerciantes de abastos, Municipalidad Provincial de Tacna, UPT.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Estructura de Costes</w:t>
            </w:r>
          </w:p>
        </w:tc>
        <w:tc>
          <w:tcPr>
            <w:tcW w:w="70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Infraestructura cloud (hosting Render, PostgreSQL Supabase, Cloudinary), personal de desarrollo/soporte, movilidad de campo y marketing digital.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3.3 Esquema de Monetización y Sostenibilidad Financiera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El modelo freemium / por comisión garantiza una barrera de entrada nula para comerciantes tradicionales: registrarse y publicar productos es totalmente gratuito, cobrándose únicamente un 5% al concretarse el pedido. Los comercios con alto volumen acceden al Plan Vendedor Frecuente (S/ 29.90/mes), garantizando un flujo de ingresos recurrente y predecible.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3.4 Proyecciones Financieras de Ingresos y Flujo de Caja a 3 Años</w:t>
      </w:r>
    </w:p>
    <w:tbl>
      <w:tblPr>
        <w:tblW w:w="88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500"/>
        <w:gridCol w:w="1500"/>
        <w:gridCol w:w="15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Concepto Financiero</w:t>
            </w:r>
          </w:p>
        </w:tc>
        <w:tc>
          <w:tcPr>
            <w:tcW w:w="15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Año 0</w:t>
            </w:r>
          </w:p>
        </w:tc>
        <w:tc>
          <w:tcPr>
            <w:tcW w:w="15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Año 1</w:t>
            </w:r>
          </w:p>
        </w:tc>
        <w:tc>
          <w:tcPr>
            <w:tcW w:w="15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Año 2</w:t>
            </w:r>
          </w:p>
        </w:tc>
        <w:tc>
          <w:tcPr>
            <w:tcW w:w="15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Año 3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Inversión Inicial Requerida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-S/ 16,773.16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Ingresos (Comisiones + Planes)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8,442.00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20,000.00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35,000.00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Costos Operativos Anuales (OPEX)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-S/ 4,500.00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-S/ 6,000.00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-S/ 8,000.00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Flujo de Caja Neto Anual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-S/ 16,773.16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3,942.00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14,000.00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27,000.00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Usuarios Compradores Activos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620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1,850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4,200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Comercios Vendedores Afiliados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35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90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220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Productos Revalorizados / Mes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850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2,400</w:t>
            </w:r>
          </w:p>
        </w:tc>
        <w:tc>
          <w:tcPr>
            <w:tcW w:w="15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5,500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4. ESPECIFICACIÓN TÉCNICA Y ARQUITECTURA DE LA SOLUCIÓN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4.1 Alcance Funcional Entregado (Módulos y 21 Casos de Uso)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La solución comprende 5 módulos integrados que satisfacen los 21 casos de uso normativos: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Módulo de Usuarios y Seguridad: Registro por rol, autenticación JWT, recuperación de contraseña, edición de perfil y control de sesiones (CU-01, CU-02, CU-13, CU-14).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Módulo de Productos y Catálogo: Publicación asistida, cálculo automático de rebaja por caducidad, filtros multicriterio, favoritos y edición (CU-03, CU-04, CU-07, CU-15, CU-19, CU-20).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Módulo de Transacciones: Reserva de inventario en tiempo real, confirmación de pedidos, mensajería interna, cancelación y calificaciones (CU-05, CU-06, CU-08, CU-16, CU-17).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Módulo de Impacto y Analítica: Cuantificación de alimentos rescatados, cálculo de CO2 evitado, reportes de impacto y estadísticas de venta (CU-09, CU-12).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Módulo de Administración y Gobernanza: Moderación de productos, gestión de quejas comunitarias, control de categorías y suscripciones (CU-10, CU-11, CU-18, CU-21).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4.2 Arquitectura Cloud, Frontend SPA y Backend REST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Frontend: Single Page Application (SPA) desarrollada con React 18, Vite y Tailwind CSS, ofreciendo transiciones fluidas y diseño adaptable optimizado para dispositivos móviles.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Backend: API RESTful modular desarrollada en Node.js y Express, desacoplada mediante capas de Rutas, Controladores y Servicios de negocio.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Persistencia: Motor PostgreSQL administrado en Supabase, implementando Row Level Security (RLS) para aislamiento criptográfico de datos y transacciones atómicas de compra.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Despliegue Cloud: Frontend y Backend ejecutados en entornos Render PaaS, con integración a Cloudinary para el almacenamiento optimizado de fotografías de productos.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4.3 Mecanismos de Seguridad, Protección de Datos y Cifrado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La plataforma incorpora hashing de contraseñas mediante bcrypt (factor de coste 10), tokens JWT con firma HMAC-SHA256, políticas RLS en base de datos para restringir acceso exclusivo a los datos propios de cada usuario, y comunicaciones cifradas mediante HTTPS / SSL/TLS en todo el tráfico de red.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5. PLAN INTEGRAL DE DESPLIEGUE, PUESTA EN MARCHA Y OPERACIÓN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5.1 Estrategia de Lanzamiento en Tres Fases Progresivas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200"/>
        <w:gridCol w:w="24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Fase de Despliegue</w:t>
            </w:r>
          </w:p>
        </w:tc>
        <w:tc>
          <w:tcPr>
            <w:tcW w:w="16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Plazo / Cronograma</w:t>
            </w:r>
          </w:p>
        </w:tc>
        <w:tc>
          <w:tcPr>
            <w:tcW w:w="3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Público Objetivo</w:t>
            </w:r>
          </w:p>
        </w:tc>
        <w:tc>
          <w:tcPr>
            <w:tcW w:w="2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Hito de Entrega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Fase 1: Piloto Controlado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Semanas 1 a 4</w:t>
            </w:r>
          </w:p>
        </w:tc>
        <w:tc>
          <w:tcPr>
            <w:tcW w:w="3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Mercado Mayorista Grau y Cercado de Tacna (15 vendedores piloto, 100 compradores).</w:t>
            </w:r>
          </w:p>
        </w:tc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Ajuste de tiempos de publicación y validación del flujo de entrega presencial.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Fase 2: Expansión Distrital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Semanas 5 a 12</w:t>
            </w:r>
          </w:p>
        </w:tc>
        <w:tc>
          <w:tcPr>
            <w:tcW w:w="3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Gregorio Albarracín (Viñani) y Alto de la Alianza (50 vendedores, 600 compradores).</w:t>
            </w:r>
          </w:p>
        </w:tc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Incorporación de minimarkets, panaderías y activación del Plan Premium.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Fase 3: Operación Consolidada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Mes 4 en adelante</w:t>
            </w:r>
          </w:p>
        </w:tc>
        <w:tc>
          <w:tcPr>
            <w:tcW w:w="3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Toda la provincia de Tacna (mercados distritales, 120+ vendedores, 2,000+ compradores).</w:t>
            </w:r>
          </w:p>
        </w:tc>
        <w:tc>
          <w:tcPr>
            <w:tcW w:w="2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Autosostenibilidad financiera y maduración de indicadores provinciales de impacto.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5.2 Plan de Capacitación y Onboarding Asistido para Comerciantes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Para garantizar la adopción de comerciantes tradicionales con baja familiaridad digital, se ejecutará: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Talleres Presenciales Breves (15 minutos) en los mismos puestos de mercado sobre cómo tomar la fotografía del producto y fijar el precio con descuento.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Entrega de Material Visual Plastificado («Guía Rápida de Publicación ÓrbiKa») para consulta directa en el puesto.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Acompañamiento asistido durante la primera semana por parte del equipo técnico para publicar los primeros lotes de productos.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5.3 Acuerdos de Nivel de Servicio (SLA) y Soporte Técnico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30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Severidad del Incidente</w:t>
            </w:r>
          </w:p>
        </w:tc>
        <w:tc>
          <w:tcPr>
            <w:tcW w:w="20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Tiempo Máximo de Respuesta</w:t>
            </w:r>
          </w:p>
        </w:tc>
        <w:tc>
          <w:tcPr>
            <w:tcW w:w="20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Tiempo Máximo de Solución</w:t>
            </w:r>
          </w:p>
        </w:tc>
        <w:tc>
          <w:tcPr>
            <w:tcW w:w="30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Procedimiento de Contingencia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Crítica (Caída de plataforma o fallo en compras)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1 hora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4 horas</w:t>
            </w:r>
          </w:p>
        </w:tc>
        <w:tc>
          <w:tcPr>
            <w:tcW w:w="3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Conmutación de respaldo en hosting cloud y reinicio de API.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Media (Error en visualización de imágenes o filtros)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4 horas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12 horas</w:t>
            </w:r>
          </w:p>
        </w:tc>
        <w:tc>
          <w:tcPr>
            <w:tcW w:w="3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Limpieza de caché CDN y reindexación de catálogo.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Baja (Consultas operativas, sugerencias de categorías)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12 horas</w:t>
            </w:r>
          </w:p>
        </w:tc>
        <w:tc>
          <w:tcPr>
            <w:tcW w:w="20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&lt; 24 horas</w:t>
            </w:r>
          </w:p>
        </w:tc>
        <w:tc>
          <w:tcPr>
            <w:tcW w:w="30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Atención mediante canal de soporte en WhatsApp Business.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5.4 Política de Mantenimiento Integral del Sistema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Mantenimiento Correctivo: Corrección inmediata de errores de software sin costo adicional durante los primeros 6 meses de garantía operativa.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Mantenimiento Preventivo: Respaldos automáticos diarios de base de datos en Supabase, monitoreo de rendimiento de API y auditorías mensuales de seguridad.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Mantenimiento Evolutivo: Incorporación programada de nuevas características conforme al roadmap estratégico del producto.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6. PROPUESTA ECONÓMICA, PRESUPUESTO Y RENTABILIDAD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6.1 Inversión Inicial Requerida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La inversión inicial consolidada en el Estudio de Factibilidad (FD01) asciende a S/ 16,773.16, estructurada en: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Costos de Personal Especializado (800 horas hombre): S/ 13,200.00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Costos de Ambiente e Infraestructura (equipos, internet, energía): S/ 1,633.33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Costos Operativos de Despliegue (dominio, hosting, trabajo de campo): S/ 415.00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Reserva de Imprevistos y Contingencias (10%): S/ 1,524.83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6.2 Presupuesto Operativo Anual (OPEX)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El mantenimiento operativo anual se estima en S/ 4,500 en el Año 1, escalando a S/ 6,000 en el Año 2 y S/ 8,000 en el Año 3, cubriendo licencias cloud, soporte técnico continuo y campañas locales de difusión.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6.3 Indicadores Financieros de Retorno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A partir del flujo de caja proyectado a 3 años con una tasa de descuento (COK) del 12%, se confirman los siguientes indicadores de rentabilidad: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Valor Actual Neto (VAN): S/ 17,126.60 (Excelente creación neta de valor).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Tasa Interna de Retorno (TIR): 50.3% (Muy superior al 12% de costo de oportunidad).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Relación Beneficio / Costo (B/C): 1.55 (Retorno de S/ 0.55 neto por cada sol invertido).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Periodo de Recuperación (Payback): 1 año y 11 meses (Retorno total del capital antes de culminar el año 2).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6.4 Análisis de Sensibilidad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700"/>
        <w:gridCol w:w="1600"/>
        <w:gridCol w:w="18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Escenario Evaluado</w:t>
            </w:r>
          </w:p>
        </w:tc>
        <w:tc>
          <w:tcPr>
            <w:tcW w:w="19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Variación de Ingresos</w:t>
            </w:r>
          </w:p>
        </w:tc>
        <w:tc>
          <w:tcPr>
            <w:tcW w:w="17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VAN Resultante</w:t>
            </w:r>
          </w:p>
        </w:tc>
        <w:tc>
          <w:tcPr>
            <w:tcW w:w="16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TIR Resultante</w:t>
            </w:r>
          </w:p>
        </w:tc>
        <w:tc>
          <w:tcPr>
            <w:tcW w:w="18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Veredicto Financiero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Optimista (+20% adopción)</w:t>
            </w:r>
          </w:p>
        </w:tc>
        <w:tc>
          <w:tcPr>
            <w:tcW w:w="19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+20% transacciones</w:t>
            </w:r>
          </w:p>
        </w:tc>
        <w:tc>
          <w:tcPr>
            <w:tcW w:w="17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24,850.20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64.1%</w:t>
            </w:r>
          </w:p>
        </w:tc>
        <w:tc>
          <w:tcPr>
            <w:tcW w:w="1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Alta rentabilidad y expansión anticipada.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Moderado (Caso Base)</w:t>
            </w:r>
          </w:p>
        </w:tc>
        <w:tc>
          <w:tcPr>
            <w:tcW w:w="19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Proyección normal</w:t>
            </w:r>
          </w:p>
        </w:tc>
        <w:tc>
          <w:tcPr>
            <w:tcW w:w="17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17,126.60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50.3%</w:t>
            </w:r>
          </w:p>
        </w:tc>
        <w:tc>
          <w:tcPr>
            <w:tcW w:w="1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Proyecto viable, rentable y sólido.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Pesimista (-20% adopción)</w:t>
            </w:r>
          </w:p>
        </w:tc>
        <w:tc>
          <w:tcPr>
            <w:tcW w:w="19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-20% transacciones</w:t>
            </w:r>
          </w:p>
        </w:tc>
        <w:tc>
          <w:tcPr>
            <w:tcW w:w="17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S/ 9,402.80</w:t>
            </w:r>
          </w:p>
        </w:tc>
        <w:tc>
          <w:tcPr>
            <w:tcW w:w="16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34.8%</w:t>
            </w:r>
          </w:p>
        </w:tc>
        <w:tc>
          <w:tcPr>
            <w:tcW w:w="18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Proyecto sigue siendo viable y solvente.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7. GESTIÓN DE RIESGOS Y CUMPLIMIENTO REGULATORIO</w:t>
      </w: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7.1 Matriz de Riesgos y Medidas de Contingencia</w:t>
      </w:r>
    </w:p>
    <w:tbl>
      <w:tblPr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E0E0E0"/>
          <w:insideV w:val="single" w:sz="4" w:space="0" w:color="E0E0E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000"/>
        <w:gridCol w:w="4800"/>
      </w:tblGrid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Riesgo Potencial</w:t>
            </w:r>
          </w:p>
        </w:tc>
        <w:tc>
          <w:tcPr>
            <w:tcW w:w="12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Probabilidad</w:t>
            </w:r>
          </w:p>
        </w:tc>
        <w:tc>
          <w:tcPr>
            <w:tcW w:w="10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Impacto</w:t>
            </w:r>
          </w:p>
        </w:tc>
        <w:tc>
          <w:tcPr>
            <w:tcW w:w="4800" w:type="dxa"/>
            <w:tcBorders>
              <w:top w:val="single" w:sz="4" w:space="0" w:color="D9D9D9"/>
              <w:bottom w:val="single" w:sz="4" w:space="0" w:color="E0E0E0"/>
            </w:tcBorders>
            <w:shd w:val="clear" w:color="auto" w:fill="1E3A2B"/>
            <w:tcMar>
              <w:top w:w="100" w:type="dxa"/>
              <w:bottom w:w="10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4450DB">
              <w:rPr>
                <w:rFonts w:ascii="Times New Roman" w:hAnsi="Times New Roman" w:cs="Times New Roman"/>
                <w:b/>
                <w:color w:val="FFFFFF"/>
                <w:sz w:val="20"/>
              </w:rPr>
              <w:t>Estrategia de Mitigación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Resistencia al cambio en comerciantes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Alto</w:t>
            </w:r>
          </w:p>
        </w:tc>
        <w:tc>
          <w:tcPr>
            <w:tcW w:w="4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Acompañamiento presencial, onboarding de 15 min y beneficios tangibles de rescate de capital.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Publicación de productos no aptos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Baja-Media</w:t>
            </w:r>
          </w:p>
        </w:tc>
        <w:tc>
          <w:tcPr>
            <w:tcW w:w="1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Alto</w:t>
            </w:r>
          </w:p>
        </w:tc>
        <w:tc>
          <w:tcPr>
            <w:tcW w:w="4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Campo obligatorio de caducidad, canal de reportes comunitarios CU-18 y suspensión de cuentas.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Caída de servidores o conectividad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Baja</w:t>
            </w:r>
          </w:p>
        </w:tc>
        <w:tc>
          <w:tcPr>
            <w:tcW w:w="10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Medio</w:t>
            </w:r>
          </w:p>
        </w:tc>
        <w:tc>
          <w:tcPr>
            <w:tcW w:w="480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Infraestructura multi-región en Render y Supabase con respaldo automatizado diario.</w:t>
            </w:r>
          </w:p>
        </w:tc>
      </w:tr>
      <w:tr w:rsidR="004450DB" w:rsidTr="004450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jc w:val="center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Cobro informal no concretado</w:t>
            </w:r>
          </w:p>
        </w:tc>
        <w:tc>
          <w:tcPr>
            <w:tcW w:w="12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Bajo</w:t>
            </w:r>
          </w:p>
        </w:tc>
        <w:tc>
          <w:tcPr>
            <w:tcW w:w="4800" w:type="dxa"/>
            <w:tcBorders>
              <w:top w:val="single" w:sz="4" w:space="0" w:color="E0E0E0"/>
              <w:bottom w:val="single" w:sz="4" w:space="0" w:color="D9D9D9"/>
            </w:tcBorders>
            <w:shd w:val="clear" w:color="auto" w:fill="F4F1E6"/>
            <w:tcMar>
              <w:top w:w="80" w:type="dxa"/>
              <w:bottom w:w="80" w:type="dxa"/>
            </w:tcMar>
            <w:vAlign w:val="center"/>
          </w:tcPr>
          <w:p w:rsidR="004450DB" w:rsidRPr="004450DB" w:rsidRDefault="004450DB" w:rsidP="004450DB">
            <w:pPr>
              <w:spacing w:after="100" w:line="276" w:lineRule="auto"/>
              <w:rPr>
                <w:rFonts w:ascii="Times New Roman" w:hAnsi="Times New Roman" w:cs="Times New Roman"/>
                <w:color w:val="111111"/>
                <w:sz w:val="19"/>
              </w:rPr>
            </w:pPr>
            <w:r w:rsidRPr="004450DB">
              <w:rPr>
                <w:rFonts w:ascii="Times New Roman" w:hAnsi="Times New Roman" w:cs="Times New Roman"/>
                <w:color w:val="111111"/>
                <w:sz w:val="19"/>
              </w:rPr>
              <w:t>Sistema de calificación con estrellas y posterior incorporación de pasarela Yape/Plin.</w:t>
            </w:r>
          </w:p>
        </w:tc>
      </w:tr>
    </w:tbl>
    <w:p w:rsidR="004450DB" w:rsidRDefault="004450DB" w:rsidP="004450DB">
      <w:pPr>
        <w:spacing w:after="120" w:line="276" w:lineRule="auto"/>
        <w:ind w:left="360"/>
      </w:pPr>
    </w:p>
    <w:p w:rsidR="004450DB" w:rsidRDefault="004450DB" w:rsidP="004450DB">
      <w:pPr>
        <w:spacing w:after="100" w:line="276" w:lineRule="auto"/>
        <w:ind w:left="360"/>
        <w:rPr>
          <w:rFonts w:ascii="Times New Roman" w:hAnsi="Times New Roman" w:cs="Times New Roman"/>
          <w:b/>
          <w:color w:val="1E3A2B"/>
          <w:sz w:val="25"/>
        </w:rPr>
      </w:pPr>
      <w:r w:rsidRPr="004450DB">
        <w:rPr>
          <w:rFonts w:ascii="Times New Roman" w:hAnsi="Times New Roman" w:cs="Times New Roman"/>
          <w:b/>
          <w:color w:val="1E3A2B"/>
          <w:sz w:val="25"/>
        </w:rPr>
        <w:t>7.2 Cumplimiento Legal y Regulatorio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Ley N.º 29733 (Protección de Datos Personales): Consentimiento expreso al registrarse, almacenamiento encriptado y derecho de rectificación/cancelación.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Ley N.º 29571 (Código de Protección y Defensa del Consumidor): Obligación de publicar información veraz sobre estado, precio con descuento y fecha de caducidad.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• Cláusula de Descargo de Responsabilidad: Términos de uso claros que estipulan que ÓrbiKa actúa como intermediario digital; la inocuidad y estado físico del alimento es responsabilidad del comerciante oferente.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8. PLAN DE ESCALABILIDAD Y HOJA DE RUTA TECNOLÓGICA (ROADMAP 2026-2028)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Para consolidar el liderazgo regional de ÓrbiKa, se planifica el siguiente roadmap evolutivo: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Horizonte 6 Meses (Q4 2026): Integración de pasarelas de pago digitales (Yape, Plin y Niubiz) para cobros en línea sin contacto, y geolocalización avanzada en mapa interactivo.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Horizonte 12 Meses (Q2 2027): Lanzamiento de la Aplicación Móvil Nativa (Android / iOS) con notificaciones push instantáneas para «Ofertas Relámpago por Vencimiento Próximo».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Horizonte 24 Meses (2028): Módulo logístico de entrega colaborativa (delivery express de última milla) y expansión del modelo a las provincias de Ilo, Moquegua y Arequipa.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9. CONCLUSIONES Y RECOMENDACIÓN DE IMPLEMENTACIÓN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La Propuesta Final de ÓrbiKa sintetiza con solidez técnica, económica y operativa una respuesta innovadora, viable y sostenible para resolver la problemática de las pérdidas de alimentos en Tacna.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Con una inversión de S/ 16,773.16 y un modelo de negocio probado con VAN de S/ 17,126.60 y TIR de 50.3%, el proyecto garantiza rentabilidad financiera y un retorno social y ambiental medible.</w:t>
      </w:r>
    </w:p>
    <w:p w:rsidR="004450DB" w:rsidRDefault="004450DB" w:rsidP="004450DB">
      <w:pPr>
        <w:spacing w:after="60" w:line="270" w:lineRule="auto"/>
        <w:ind w:left="360"/>
        <w:jc w:val="both"/>
        <w:rPr>
          <w:rFonts w:ascii="Times New Roman" w:hAnsi="Times New Roman" w:cs="Times New Roman"/>
          <w:color w:val="111111"/>
          <w:sz w:val="21"/>
        </w:rPr>
      </w:pPr>
      <w:r w:rsidRPr="004450DB">
        <w:rPr>
          <w:rFonts w:ascii="Times New Roman" w:hAnsi="Times New Roman" w:cs="Times New Roman"/>
          <w:color w:val="111111"/>
          <w:sz w:val="21"/>
        </w:rPr>
        <w:t>• Se recomienda formalizar la aprobación de la presente Propuesta Final y dar inicio a la Fase 1 de despliegue piloto en el Mercado Mayorista Grau.</w:t>
      </w:r>
    </w:p>
    <w:p w:rsidR="004450DB" w:rsidRDefault="004450DB" w:rsidP="004450DB">
      <w:pPr>
        <w:spacing w:line="276" w:lineRule="auto"/>
        <w:ind w:left="360"/>
        <w:rPr>
          <w:rFonts w:ascii="Times New Roman" w:hAnsi="Times New Roman" w:cs="Times New Roman"/>
          <w:b/>
          <w:color w:val="1E3A2B"/>
          <w:sz w:val="28"/>
        </w:rPr>
      </w:pPr>
      <w:r w:rsidRPr="004450DB">
        <w:rPr>
          <w:rFonts w:ascii="Times New Roman" w:hAnsi="Times New Roman" w:cs="Times New Roman"/>
          <w:b/>
          <w:color w:val="1E3A2B"/>
          <w:sz w:val="28"/>
        </w:rPr>
        <w:t>10. ACTA DE ACEPTACIÓN, COMPROMISO Y FIRMAS</w:t>
      </w:r>
    </w:p>
    <w:p w:rsidR="004450DB" w:rsidRDefault="004450DB" w:rsidP="004450DB">
      <w:pPr>
        <w:spacing w:after="120" w:line="276" w:lineRule="auto"/>
        <w:ind w:left="360"/>
        <w:jc w:val="both"/>
        <w:rPr>
          <w:rFonts w:ascii="Times New Roman" w:hAnsi="Times New Roman" w:cs="Times New Roman"/>
          <w:color w:val="111111"/>
        </w:rPr>
      </w:pPr>
      <w:r w:rsidRPr="004450DB">
        <w:rPr>
          <w:rFonts w:ascii="Times New Roman" w:hAnsi="Times New Roman" w:cs="Times New Roman"/>
          <w:color w:val="111111"/>
        </w:rPr>
        <w:t>En señal de conformidad con los términos técnicos, metodológicos y económicos expuestos en la presente Propuesta Final, suscriben el equipo de desarrollo y el docente evaluador en la ciudad de Tacna, a los 28 días del mes de septiembre de 2026:</w:t>
      </w:r>
    </w:p>
    <w:p w:rsidR="004450DB" w:rsidRDefault="004450DB" w:rsidP="004450DB">
      <w:pPr>
        <w:spacing w:after="120" w:line="276" w:lineRule="auto"/>
        <w:ind w:left="360"/>
        <w:jc w:val="both"/>
      </w:pPr>
    </w:p>
    <w:p w:rsidR="004450DB" w:rsidRDefault="004450DB" w:rsidP="004450DB">
      <w:pPr>
        <w:spacing w:after="120" w:line="276" w:lineRule="auto"/>
        <w:ind w:left="360"/>
        <w:jc w:val="both"/>
      </w:pPr>
    </w:p>
    <w:p w:rsidR="004450DB" w:rsidRDefault="004450DB" w:rsidP="004450DB">
      <w:pPr>
        <w:spacing w:after="120" w:line="276" w:lineRule="auto"/>
        <w:ind w:left="360"/>
        <w:jc w:val="both"/>
      </w:pPr>
      <w:r>
        <w:t>___________________________________                    ___________________________________</w:t>
      </w:r>
    </w:p>
    <w:p w:rsidR="004450DB" w:rsidRDefault="004450DB" w:rsidP="004450DB">
      <w:pPr>
        <w:spacing w:after="120" w:line="276" w:lineRule="auto"/>
        <w:ind w:left="360"/>
        <w:jc w:val="both"/>
      </w:pPr>
      <w:r>
        <w:t>Renzo Fernando Loyola Vilca                                 Brant Antony Chata Choque</w:t>
      </w:r>
    </w:p>
    <w:p w:rsidR="004450DB" w:rsidRDefault="004450DB" w:rsidP="004450DB">
      <w:pPr>
        <w:spacing w:after="120" w:line="276" w:lineRule="auto"/>
        <w:ind w:left="360"/>
        <w:jc w:val="both"/>
      </w:pPr>
      <w:r>
        <w:t>Líder de Arquitectura y Construcción                        Líder de Análisis y Calidad Funcional</w:t>
      </w:r>
    </w:p>
    <w:p w:rsidR="004450DB" w:rsidRDefault="004450DB" w:rsidP="004450DB">
      <w:pPr>
        <w:spacing w:after="120" w:line="276" w:lineRule="auto"/>
        <w:ind w:left="360"/>
        <w:jc w:val="both"/>
      </w:pPr>
      <w:r>
        <w:t>Código UPT: 2021072615                                      Código UPT: 2020067577</w:t>
      </w:r>
    </w:p>
    <w:p w:rsidR="004450DB" w:rsidRDefault="004450DB" w:rsidP="004450DB">
      <w:pPr>
        <w:spacing w:after="120" w:line="276" w:lineRule="auto"/>
        <w:ind w:left="360"/>
        <w:jc w:val="both"/>
      </w:pPr>
    </w:p>
    <w:p w:rsidR="004450DB" w:rsidRDefault="004450DB" w:rsidP="004450DB">
      <w:pPr>
        <w:spacing w:after="120" w:line="276" w:lineRule="auto"/>
        <w:ind w:left="360"/>
        <w:jc w:val="both"/>
      </w:pPr>
    </w:p>
    <w:p w:rsidR="004450DB" w:rsidRDefault="004450DB" w:rsidP="004450DB">
      <w:pPr>
        <w:spacing w:after="120" w:line="276" w:lineRule="auto"/>
        <w:ind w:left="360"/>
        <w:jc w:val="both"/>
      </w:pPr>
      <w:r>
        <w:t xml:space="preserve">                                  ___________________________________</w:t>
      </w:r>
    </w:p>
    <w:p w:rsidR="004450DB" w:rsidRDefault="004450DB" w:rsidP="004450DB">
      <w:pPr>
        <w:spacing w:after="120" w:line="276" w:lineRule="auto"/>
        <w:ind w:left="360"/>
        <w:jc w:val="both"/>
      </w:pPr>
      <w:r>
        <w:t xml:space="preserve">                               MAG. RICARDO EDUARDO VALCARCEL ALVARADO</w:t>
      </w:r>
    </w:p>
    <w:p w:rsidR="004450DB" w:rsidRDefault="004450DB" w:rsidP="004450DB">
      <w:pPr>
        <w:spacing w:after="120" w:line="276" w:lineRule="auto"/>
        <w:ind w:left="360"/>
        <w:jc w:val="both"/>
      </w:pPr>
      <w:r>
        <w:t xml:space="preserve">                                Docente Evaluador / Asesor Metodológico</w:t>
      </w:r>
    </w:p>
    <w:p w:rsidR="004450DB" w:rsidRDefault="004450DB" w:rsidP="004450DB">
      <w:pPr>
        <w:spacing w:after="120" w:line="276" w:lineRule="auto"/>
        <w:ind w:left="360"/>
        <w:jc w:val="center"/>
        <w:rPr>
          <w:rFonts w:ascii="Times New Roman" w:hAnsi="Times New Roman" w:cs="Times New Roman"/>
          <w:sz w:val="20"/>
        </w:rPr>
      </w:pPr>
      <w:r w:rsidRPr="004450DB">
        <w:rPr>
          <w:rFonts w:ascii="Times New Roman" w:hAnsi="Times New Roman" w:cs="Times New Roman"/>
          <w:sz w:val="20"/>
        </w:rPr>
        <w:t xml:space="preserve">                                     Universidad Privada de Tacna</w:t>
      </w:r>
    </w:p>
    <w:p w:rsidR="004450DB" w:rsidRPr="004450DB" w:rsidRDefault="004450DB" w:rsidP="004450DB">
      <w:pPr>
        <w:spacing w:after="120" w:line="276" w:lineRule="auto"/>
        <w:ind w:left="360"/>
        <w:jc w:val="center"/>
        <w:rPr>
          <w:rFonts w:ascii="Times New Roman" w:hAnsi="Times New Roman" w:cs="Times New Roman"/>
          <w:sz w:val="20"/>
        </w:rPr>
      </w:pPr>
    </w:p>
    <w:sectPr w:rsidR="004450DB" w:rsidRPr="004450DB" w:rsidSect="004450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50DB" w:rsidRDefault="004450DB" w:rsidP="004450DB">
      <w:pPr>
        <w:spacing w:after="0" w:line="240" w:lineRule="auto"/>
      </w:pPr>
      <w:r>
        <w:separator/>
      </w:r>
    </w:p>
  </w:endnote>
  <w:endnote w:type="continuationSeparator" w:id="0">
    <w:p w:rsidR="004450DB" w:rsidRDefault="004450DB" w:rsidP="0044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Default="004450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Pr="004450DB" w:rsidRDefault="004450DB" w:rsidP="004450DB">
    <w:pPr>
      <w:pStyle w:val="Piedepgina"/>
      <w:jc w:val="right"/>
      <w:rPr>
        <w:rFonts w:ascii="Times New Roman" w:hAnsi="Times New Roman" w:cs="Times New Roman"/>
        <w:color w:val="555555"/>
        <w:sz w:val="18"/>
      </w:rPr>
    </w:pPr>
    <w:r>
      <w:rPr>
        <w:rFonts w:ascii="Times New Roman" w:hAnsi="Times New Roman" w:cs="Times New Roman"/>
        <w:color w:val="555555"/>
        <w:sz w:val="18"/>
      </w:rPr>
      <w:t xml:space="preserve">Página </w:t>
    </w:r>
    <w:r>
      <w:rPr>
        <w:rFonts w:ascii="Times New Roman" w:hAnsi="Times New Roman" w:cs="Times New Roman"/>
        <w:color w:val="555555"/>
        <w:sz w:val="18"/>
      </w:rPr>
      <w:fldChar w:fldCharType="begin"/>
    </w:r>
    <w:r>
      <w:rPr>
        <w:rFonts w:ascii="Times New Roman" w:hAnsi="Times New Roman" w:cs="Times New Roman"/>
        <w:color w:val="555555"/>
        <w:sz w:val="18"/>
      </w:rPr>
      <w:instrText xml:space="preserve"> PAGE  \* MERGEFORMAT </w:instrText>
    </w:r>
    <w:r>
      <w:rPr>
        <w:rFonts w:ascii="Times New Roman" w:hAnsi="Times New Roman" w:cs="Times New Roman"/>
        <w:color w:val="555555"/>
        <w:sz w:val="18"/>
      </w:rPr>
      <w:fldChar w:fldCharType="separate"/>
    </w:r>
    <w:r>
      <w:rPr>
        <w:rFonts w:ascii="Times New Roman" w:hAnsi="Times New Roman" w:cs="Times New Roman"/>
        <w:noProof/>
        <w:color w:val="555555"/>
        <w:sz w:val="18"/>
      </w:rPr>
      <w:t>1</w:t>
    </w:r>
    <w:r>
      <w:rPr>
        <w:rFonts w:ascii="Times New Roman" w:hAnsi="Times New Roman" w:cs="Times New Roman"/>
        <w:color w:val="55555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Default="004450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50DB" w:rsidRDefault="004450DB" w:rsidP="004450DB">
      <w:pPr>
        <w:spacing w:after="0" w:line="240" w:lineRule="auto"/>
      </w:pPr>
      <w:r>
        <w:separator/>
      </w:r>
    </w:p>
  </w:footnote>
  <w:footnote w:type="continuationSeparator" w:id="0">
    <w:p w:rsidR="004450DB" w:rsidRDefault="004450DB" w:rsidP="00445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Default="004450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Pr="004450DB" w:rsidRDefault="004450DB">
    <w:pPr>
      <w:pStyle w:val="Encabezado"/>
      <w:rPr>
        <w:rFonts w:ascii="Times New Roman" w:hAnsi="Times New Roman" w:cs="Times New Roman"/>
        <w:color w:val="555555"/>
        <w:sz w:val="17"/>
      </w:rPr>
    </w:pPr>
    <w:r w:rsidRPr="004450DB">
      <w:rPr>
        <w:rFonts w:ascii="Times New Roman" w:hAnsi="Times New Roman" w:cs="Times New Roman"/>
        <w:color w:val="555555"/>
        <w:sz w:val="17"/>
      </w:rPr>
      <w:t>ÓrbiKa — FD06 Propuesta Final de Construcción de Software | UPT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0DB" w:rsidRDefault="004450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DB"/>
    <w:rsid w:val="004450DB"/>
    <w:rsid w:val="008D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B1C8EE-8A48-407E-9136-4A2C466B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5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0DB"/>
  </w:style>
  <w:style w:type="paragraph" w:styleId="Piedepgina">
    <w:name w:val="footer"/>
    <w:basedOn w:val="Normal"/>
    <w:link w:val="PiedepginaCar"/>
    <w:uiPriority w:val="99"/>
    <w:unhideWhenUsed/>
    <w:rsid w:val="00445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2937</Words>
  <Characters>16155</Characters>
  <Application>Microsoft Office Word</Application>
  <DocSecurity>0</DocSecurity>
  <Lines>134</Lines>
  <Paragraphs>38</Paragraphs>
  <ScaleCrop>false</ScaleCrop>
  <Company/>
  <LinksUpToDate>false</LinksUpToDate>
  <CharactersWithSpaces>19054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Loyola Vilca</dc:creator>
  <cp:keywords/>
  <dc:description/>
  <cp:lastModifiedBy>Renzo Loyola Vilca</cp:lastModifiedBy>
  <cp:revision>1</cp:revision>
  <dcterms:created xsi:type="dcterms:W3CDTF">2026-10-04T02:44:00Z</dcterms:created>
  <dcterms:modified xsi:type="dcterms:W3CDTF">2026-10-04T02:44:00Z</dcterms:modified>
</cp:coreProperties>
</file>