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Sidecar Egress Proxy</w:t>
      </w:r>
    </w:p>
    <w:p>
      <w:pPr>
        <w:spacing w:after="100"/>
        <w:jc w:val="center"/>
      </w:pPr>
      <w:r>
        <w:rPr>
          <w:rFonts w:ascii="Arial" w:cs="Arial" w:eastAsia="Arial" w:hAnsi="Arial"/>
          <w:color w:val="2E74B5"/>
          <w:sz w:val="36"/>
          <w:szCs w:val="36"/>
        </w:rPr>
        <w:t xml:space="preserve">API Key Injection Design</w:t>
      </w:r>
    </w:p>
    <w:p>
      <w:pPr>
        <w:spacing w:after="600"/>
        <w:jc w:val="center"/>
      </w:pPr>
      <w:r>
        <w:rPr>
          <w:rFonts w:ascii="Arial" w:cs="Arial" w:eastAsia="Arial" w:hAnsi="Arial"/>
          <w:color w:val="666666"/>
          <w:sz w:val="22"/>
          <w:szCs w:val="22"/>
        </w:rPr>
        <w:t xml:space="preserve">Architecture Pattern A: Plaintext HTTP (App → Sidecar) + HTTPS (Sidecar → External)</w:t>
      </w:r>
    </w:p>
    <w:p>
      <w:pPr>
        <w:spacing w:after="100"/>
        <w:jc w:val="center"/>
      </w:pPr>
      <w:r>
        <w:rPr>
          <w:rFonts w:ascii="Arial" w:cs="Arial" w:eastAsia="Arial" w:hAnsi="Arial"/>
          <w:color w:val="888888"/>
          <w:sz w:val="20"/>
          <w:szCs w:val="20"/>
        </w:rPr>
        <w:t xml:space="preserve">Document Version: 1.0 Draft</w:t>
      </w:r>
    </w:p>
    <w:p>
      <w:pPr>
        <w:spacing w:after="0"/>
        <w:jc w:val="center"/>
      </w:pPr>
      <w:r>
        <w:rPr>
          <w:rFonts w:ascii="Arial" w:cs="Arial" w:eastAsia="Arial" w:hAnsi="Arial"/>
          <w:color w:val="888888"/>
          <w:sz w:val="20"/>
          <w:szCs w:val="20"/>
        </w:rPr>
        <w:t xml:space="preserve">Date: 2025-02-09</w:t>
      </w:r>
    </w:p>
    <w:p>
      <w:r>
        <w:br w:type="page"/>
      </w:r>
    </w:p>
    <w:p>
      <w:pPr>
        <w:pStyle w:val="Heading1"/>
        <w:spacing w:before="360" w:after="200"/>
      </w:pPr>
      <w:r>
        <w:rPr>
          <w:rFonts w:ascii="Arial" w:cs="Arial" w:eastAsia="Arial" w:hAnsi="Arial"/>
          <w:b/>
          <w:bCs/>
          <w:color w:val="1B3A5C"/>
          <w:sz w:val="32"/>
          <w:szCs w:val="32"/>
        </w:rPr>
        <w:t xml:space="preserve">1. Executive Summary</w:t>
      </w:r>
    </w:p>
    <w:p>
      <w:pPr>
        <w:spacing w:after="140" w:line="300"/>
      </w:pPr>
      <w:r>
        <w:rPr>
          <w:rFonts w:ascii="Arial" w:cs="Arial" w:eastAsia="Arial" w:hAnsi="Arial"/>
          <w:sz w:val="21"/>
          <w:szCs w:val="21"/>
        </w:rPr>
        <w:t xml:space="preserve">This document describes a sidecar egress proxy architecture that injects real API keys into outbound requests at the network layer, ensuring that application code never has direct access to secrets.</w:t>
      </w:r>
    </w:p>
    <w:p>
      <w:pPr>
        <w:spacing w:after="140" w:line="300"/>
      </w:pPr>
      <w:r>
        <w:rPr>
          <w:rFonts w:ascii="Arial" w:cs="Arial" w:eastAsia="Arial" w:hAnsi="Arial"/>
          <w:sz w:val="21"/>
          <w:szCs w:val="21"/>
        </w:rPr>
        <w:t xml:space="preserve">The core mechanism is inspired by Deno Sandbox, which stores only dummy values inside the execution environment and replaces them with real credentials exclusively at the network boundary when contacting approved destinations.</w:t>
      </w:r>
    </w:p>
    <w:p>
      <w:pPr>
        <w:spacing w:after="140" w:line="300"/>
      </w:pPr>
      <w:r>
        <w:rPr>
          <w:rFonts w:ascii="Arial" w:cs="Arial" w:eastAsia="Arial" w:hAnsi="Arial"/>
          <w:sz w:val="21"/>
          <w:szCs w:val="21"/>
        </w:rPr>
        <w:t xml:space="preserve">In a Kubernetes environment, this pattern is realized by deploying a sidecar container as the sole egress path for the application container. The sidecar performs three functions: destination allowlisting (deny-by-default), authentication header overwrite-replacement, and TLS origination to the upstream API.</w:t>
      </w:r>
    </w:p>
    <w:p>
      <w:pPr>
        <w:spacing w:after="100"/>
      </w:pPr>
    </w:p>
    <w:p>
      <w:pPr>
        <w:pStyle w:val="Heading1"/>
        <w:spacing w:before="360" w:after="200"/>
      </w:pPr>
      <w:r>
        <w:rPr>
          <w:rFonts w:ascii="Arial" w:cs="Arial" w:eastAsia="Arial" w:hAnsi="Arial"/>
          <w:b/>
          <w:bCs/>
          <w:color w:val="1B3A5C"/>
          <w:sz w:val="32"/>
          <w:szCs w:val="32"/>
        </w:rPr>
        <w:t xml:space="preserve">2. Goals and Non-Goals</w:t>
      </w:r>
    </w:p>
    <w:p>
      <w:pPr>
        <w:pStyle w:val="Heading2"/>
        <w:spacing w:before="280" w:after="160"/>
      </w:pPr>
      <w:r>
        <w:rPr>
          <w:rFonts w:ascii="Arial" w:cs="Arial" w:eastAsia="Arial" w:hAnsi="Arial"/>
          <w:b/>
          <w:bCs/>
          <w:color w:val="2E74B5"/>
          <w:sz w:val="26"/>
          <w:szCs w:val="26"/>
        </w:rPr>
        <w:t xml:space="preserve">2.1 Goals</w:t>
      </w:r>
    </w:p>
    <w:p>
      <w:pPr>
        <w:pStyle w:val="ListParagraph"/>
        <w:numPr>
          <w:ilvl w:val="0"/>
          <w:numId w:val="2"/>
        </w:numPr>
        <w:spacing w:after="80" w:line="280"/>
      </w:pPr>
      <w:r>
        <w:rPr>
          <w:rFonts w:ascii="Arial" w:cs="Arial" w:eastAsia="Arial" w:hAnsi="Arial"/>
          <w:b/>
          <w:bCs/>
          <w:sz w:val="21"/>
          <w:szCs w:val="21"/>
        </w:rPr>
        <w:t xml:space="preserve">Secret concealment: </w:t>
      </w:r>
      <w:r>
        <w:rPr>
          <w:rFonts w:ascii="Arial" w:cs="Arial" w:eastAsia="Arial" w:hAnsi="Arial"/>
          <w:sz w:val="21"/>
          <w:szCs w:val="21"/>
        </w:rPr>
        <w:t xml:space="preserve">Application (untrusted) code must never see real API keys.</w:t>
      </w:r>
    </w:p>
    <w:p>
      <w:pPr>
        <w:pStyle w:val="ListParagraph"/>
        <w:numPr>
          <w:ilvl w:val="0"/>
          <w:numId w:val="2"/>
        </w:numPr>
        <w:spacing w:after="80" w:line="280"/>
      </w:pPr>
      <w:r>
        <w:rPr>
          <w:rFonts w:ascii="Arial" w:cs="Arial" w:eastAsia="Arial" w:hAnsi="Arial"/>
          <w:b/>
          <w:bCs/>
          <w:sz w:val="21"/>
          <w:szCs w:val="21"/>
        </w:rPr>
        <w:t xml:space="preserve">Header injection at egress: </w:t>
      </w:r>
      <w:r>
        <w:rPr>
          <w:rFonts w:ascii="Arial" w:cs="Arial" w:eastAsia="Arial" w:hAnsi="Arial"/>
          <w:sz w:val="21"/>
          <w:szCs w:val="21"/>
        </w:rPr>
        <w:t xml:space="preserve">Authentication headers are overwrite-replaced with real values only when the request targets an approved external API.</w:t>
      </w:r>
    </w:p>
    <w:p>
      <w:pPr>
        <w:pStyle w:val="ListParagraph"/>
        <w:numPr>
          <w:ilvl w:val="0"/>
          <w:numId w:val="2"/>
        </w:numPr>
        <w:spacing w:after="80" w:line="280"/>
      </w:pPr>
      <w:r>
        <w:rPr>
          <w:rFonts w:ascii="Arial" w:cs="Arial" w:eastAsia="Arial" w:hAnsi="Arial"/>
          <w:b/>
          <w:bCs/>
          <w:sz w:val="21"/>
          <w:szCs w:val="21"/>
        </w:rPr>
        <w:t xml:space="preserve">Data exfiltration prevention: </w:t>
      </w:r>
      <w:r>
        <w:rPr>
          <w:rFonts w:ascii="Arial" w:cs="Arial" w:eastAsia="Arial" w:hAnsi="Arial"/>
          <w:sz w:val="21"/>
          <w:szCs w:val="21"/>
        </w:rPr>
        <w:t xml:space="preserve">Any request to a non-allowlisted destination is denied by default.</w:t>
      </w:r>
    </w:p>
    <w:p>
      <w:pPr>
        <w:spacing w:after="100"/>
      </w:pPr>
    </w:p>
    <w:p>
      <w:pPr>
        <w:pStyle w:val="Heading2"/>
        <w:spacing w:before="280" w:after="160"/>
      </w:pPr>
      <w:r>
        <w:rPr>
          <w:rFonts w:ascii="Arial" w:cs="Arial" w:eastAsia="Arial" w:hAnsi="Arial"/>
          <w:b/>
          <w:bCs/>
          <w:color w:val="2E74B5"/>
          <w:sz w:val="26"/>
          <w:szCs w:val="26"/>
        </w:rPr>
        <w:t xml:space="preserve">2.2 Non-Goals</w:t>
      </w:r>
    </w:p>
    <w:p>
      <w:pPr>
        <w:pStyle w:val="ListParagraph"/>
        <w:numPr>
          <w:ilvl w:val="0"/>
          <w:numId w:val="2"/>
        </w:numPr>
        <w:spacing w:after="80" w:line="280"/>
      </w:pPr>
      <w:r>
        <w:rPr>
          <w:rFonts w:ascii="Arial" w:cs="Arial" w:eastAsia="Arial" w:hAnsi="Arial"/>
          <w:b/>
          <w:bCs/>
          <w:sz w:val="21"/>
          <w:szCs w:val="21"/>
        </w:rPr>
        <w:t xml:space="preserve">Full intra-Pod isolation: </w:t>
      </w:r>
      <w:r>
        <w:rPr>
          <w:rFonts w:ascii="Arial" w:cs="Arial" w:eastAsia="Arial" w:hAnsi="Arial"/>
          <w:sz w:val="21"/>
          <w:szCs w:val="21"/>
        </w:rPr>
        <w:t xml:space="preserve">Containers in the same Pod share a network namespace; this design does not claim kernel-level isolation between them.</w:t>
      </w:r>
    </w:p>
    <w:p>
      <w:pPr>
        <w:pStyle w:val="ListParagraph"/>
        <w:numPr>
          <w:ilvl w:val="0"/>
          <w:numId w:val="2"/>
        </w:numPr>
        <w:spacing w:after="80" w:line="280"/>
      </w:pPr>
      <w:r>
        <w:rPr>
          <w:rFonts w:ascii="Arial" w:cs="Arial" w:eastAsia="Arial" w:hAnsi="Arial"/>
          <w:b/>
          <w:bCs/>
          <w:sz w:val="21"/>
          <w:szCs w:val="21"/>
        </w:rPr>
        <w:t xml:space="preserve">L7 path-level policy (initial release): </w:t>
      </w:r>
      <w:r>
        <w:rPr>
          <w:rFonts w:ascii="Arial" w:cs="Arial" w:eastAsia="Arial" w:hAnsi="Arial"/>
          <w:sz w:val="21"/>
          <w:szCs w:val="21"/>
        </w:rPr>
        <w:t xml:space="preserve">The first iteration enforces policy at the host/SNI level. Path-based rules may be added later.</w:t>
      </w:r>
    </w:p>
    <w:p>
      <w:pPr>
        <w:spacing w:after="100"/>
      </w:pPr>
    </w:p>
    <w:p>
      <w:pPr>
        <w:pStyle w:val="Heading1"/>
        <w:spacing w:before="360" w:after="200"/>
      </w:pPr>
      <w:r>
        <w:rPr>
          <w:rFonts w:ascii="Arial" w:cs="Arial" w:eastAsia="Arial" w:hAnsi="Arial"/>
          <w:b/>
          <w:bCs/>
          <w:color w:val="1B3A5C"/>
          <w:sz w:val="32"/>
          <w:szCs w:val="32"/>
        </w:rPr>
        <w:t xml:space="preserve">3. Background and Rationale</w:t>
      </w:r>
    </w:p>
    <w:p>
      <w:pPr>
        <w:pStyle w:val="Heading2"/>
        <w:spacing w:before="280" w:after="160"/>
      </w:pPr>
      <w:r>
        <w:rPr>
          <w:rFonts w:ascii="Arial" w:cs="Arial" w:eastAsia="Arial" w:hAnsi="Arial"/>
          <w:b/>
          <w:bCs/>
          <w:color w:val="2E74B5"/>
          <w:sz w:val="26"/>
          <w:szCs w:val="26"/>
        </w:rPr>
        <w:t xml:space="preserve">3.1 Deno Sandbox Model</w:t>
      </w:r>
    </w:p>
    <w:p>
      <w:pPr>
        <w:spacing w:after="140" w:line="300"/>
      </w:pPr>
      <w:r>
        <w:rPr>
          <w:rFonts w:ascii="Arial" w:cs="Arial" w:eastAsia="Arial" w:hAnsi="Arial"/>
          <w:sz w:val="21"/>
          <w:szCs w:val="21"/>
        </w:rPr>
        <w:t xml:space="preserve">Deno Sandbox adopts a pattern where secrets passed into the sandbox appear as dummy values inside the execution environment. The real values are injected only at the network layer when the request targets an approved host. This design transplants the same concept into Kubernetes by placing a sidecar proxy at the Pod’s egress boundary.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4B5" w:sz="6"/>
              <w:bottom w:val="none" w:sz="0"/>
              <w:right w:val="none" w:sz="0"/>
            </w:tcBorders>
            <w:shd w:fill="E8F0F8" w:val="clear"/>
            <w:tcMar>
              <w:top w:type="dxa" w:w="100"/>
              <w:left w:type="dxa" w:w="160"/>
              <w:bottom w:type="dxa" w:w="100"/>
              <w:right w:type="dxa" w:w="160"/>
            </w:tcMar>
          </w:tcPr>
          <w:p>
            <w:pPr>
              <w:spacing w:after="40"/>
            </w:pPr>
            <w:r>
              <w:rPr>
                <w:rFonts w:ascii="Arial" w:cs="Arial" w:eastAsia="Arial" w:hAnsi="Arial"/>
                <w:b/>
                <w:bCs/>
                <w:color w:val="2E74B5"/>
                <w:sz w:val="20"/>
                <w:szCs w:val="20"/>
              </w:rPr>
              <w:t xml:space="preserve">Reference: Deno Sandbox</w:t>
            </w:r>
          </w:p>
          <w:p>
            <w:pPr>
              <w:spacing w:after="0"/>
            </w:pPr>
            <w:r>
              <w:rPr>
                <w:rFonts w:ascii="Arial" w:cs="Arial" w:eastAsia="Arial" w:hAnsi="Arial"/>
                <w:sz w:val="20"/>
                <w:szCs w:val="20"/>
              </w:rPr>
              <w:t xml:space="preserve">"Both features are implemented via an outbound proxy … chokepoint for policy enforcement." — deno.com/blog/introducing-deno-sandbox</w:t>
            </w:r>
          </w:p>
        </w:tc>
      </w:tr>
    </w:tbl>
    <w:p>
      <w:pPr>
        <w:spacing w:after="100"/>
      </w:pPr>
    </w:p>
    <w:p>
      <w:pPr>
        <w:pStyle w:val="Heading2"/>
        <w:spacing w:before="280" w:after="160"/>
      </w:pPr>
      <w:r>
        <w:rPr>
          <w:rFonts w:ascii="Arial" w:cs="Arial" w:eastAsia="Arial" w:hAnsi="Arial"/>
          <w:b/>
          <w:bCs/>
          <w:color w:val="2E74B5"/>
          <w:sz w:val="26"/>
          <w:szCs w:val="26"/>
        </w:rPr>
        <w:t xml:space="preserve">3.2 Why a Sidecar Egress Proxy?</w:t>
      </w:r>
    </w:p>
    <w:p>
      <w:pPr>
        <w:spacing w:after="140" w:line="300"/>
      </w:pPr>
      <w:r>
        <w:rPr>
          <w:rFonts w:ascii="Arial" w:cs="Arial" w:eastAsia="Arial" w:hAnsi="Arial"/>
          <w:sz w:val="21"/>
          <w:szCs w:val="21"/>
        </w:rPr>
        <w:t xml:space="preserve">In Kubernetes, a sidecar container within the same Pod serves as a natural chokepoint for outbound traffic. By routing all egress through this proxy, three properties are achieved simultaneously: secret injection, destination control, and TLS origination. The application itself only speaks plaintext HTTP to localhost, which allows the proxy to inspect and rewrite headers before forwarding to the upstream over HTTPS.</w:t>
      </w:r>
    </w:p>
    <w:p>
      <w:pPr>
        <w:spacing w:after="100"/>
      </w:pPr>
    </w:p>
    <w:p>
      <w:pPr>
        <w:pStyle w:val="Heading1"/>
        <w:spacing w:before="360" w:after="200"/>
      </w:pPr>
      <w:r>
        <w:rPr>
          <w:rFonts w:ascii="Arial" w:cs="Arial" w:eastAsia="Arial" w:hAnsi="Arial"/>
          <w:b/>
          <w:bCs/>
          <w:color w:val="1B3A5C"/>
          <w:sz w:val="32"/>
          <w:szCs w:val="32"/>
        </w:rPr>
        <w:t xml:space="preserve">4. Architecture Overview</w:t>
      </w:r>
    </w:p>
    <w:p>
      <w:pPr>
        <w:pStyle w:val="Heading2"/>
        <w:spacing w:before="280" w:after="160"/>
      </w:pPr>
      <w:r>
        <w:rPr>
          <w:rFonts w:ascii="Arial" w:cs="Arial" w:eastAsia="Arial" w:hAnsi="Arial"/>
          <w:b/>
          <w:bCs/>
          <w:color w:val="2E74B5"/>
          <w:sz w:val="26"/>
          <w:szCs w:val="26"/>
        </w:rPr>
        <w:t xml:space="preserve">4.1 Pattern A: Plaintext HTTP + HTTPS Origination</w:t>
      </w:r>
    </w:p>
    <w:p>
      <w:pPr>
        <w:spacing w:after="140" w:line="300"/>
      </w:pPr>
      <w:r>
        <w:rPr>
          <w:rFonts w:ascii="Arial" w:cs="Arial" w:eastAsia="Arial" w:hAnsi="Arial"/>
          <w:sz w:val="21"/>
          <w:szCs w:val="21"/>
        </w:rPr>
        <w:t xml:space="preserve">This architecture splits the connection into two segments: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Segment</w:t>
            </w:r>
          </w:p>
        </w:tc>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Protocol</w:t>
            </w:r>
          </w:p>
        </w:tc>
        <w:tc>
          <w:tcPr>
            <w:tcW w:type="dxa" w:w="57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App → Sidecar</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HTTP (plaintext)</w:t>
            </w:r>
          </w:p>
        </w:tc>
        <w:tc>
          <w:tcPr>
            <w:tcW w:type="dxa" w:w="57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Application sends requests to the sidecar on localhost. Headers are fully visible to the proxy.</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Sidecar → External API</w:t>
            </w:r>
          </w:p>
        </w:tc>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HTTPS (TLS)</w:t>
            </w:r>
          </w:p>
        </w:tc>
        <w:tc>
          <w:tcPr>
            <w:tcW w:type="dxa" w:w="5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Sidecar establishes a TLS connection to the upstream, ensuring end-to-end encryption on the public network.</w:t>
            </w:r>
          </w:p>
        </w:tc>
      </w:tr>
    </w:tbl>
    <w:p>
      <w:pPr>
        <w:spacing w:after="100"/>
      </w:pPr>
    </w:p>
    <w:p>
      <w:pPr>
        <w:pStyle w:val="Heading2"/>
        <w:spacing w:before="280" w:after="160"/>
      </w:pPr>
      <w:r>
        <w:rPr>
          <w:rFonts w:ascii="Arial" w:cs="Arial" w:eastAsia="Arial" w:hAnsi="Arial"/>
          <w:b/>
          <w:bCs/>
          <w:color w:val="2E74B5"/>
          <w:sz w:val="26"/>
          <w:szCs w:val="26"/>
        </w:rPr>
        <w:t xml:space="preserve">4.2 Request Lifecycle</w:t>
      </w:r>
    </w:p>
    <w:p>
      <w:pPr>
        <w:spacing w:after="140" w:line="300"/>
      </w:pPr>
      <w:r>
        <w:rPr>
          <w:rFonts w:ascii="Arial" w:cs="Arial" w:eastAsia="Arial" w:hAnsi="Arial"/>
          <w:sz w:val="21"/>
          <w:szCs w:val="21"/>
        </w:rPr>
        <w:t xml:space="preserve">The following steps describe the lifecycle of a single outbound API call:</w:t>
      </w:r>
    </w:p>
    <w:p>
      <w:pPr>
        <w:pStyle w:val="ListParagraph"/>
        <w:numPr>
          <w:ilvl w:val="0"/>
          <w:numId w:val="3"/>
        </w:numPr>
        <w:spacing w:after="80" w:line="280"/>
      </w:pPr>
      <w:r>
        <w:rPr>
          <w:rFonts w:ascii="Arial" w:cs="Arial" w:eastAsia="Arial" w:hAnsi="Arial"/>
          <w:b/>
          <w:bCs/>
          <w:sz w:val="21"/>
          <w:szCs w:val="21"/>
        </w:rPr>
        <w:t xml:space="preserve">App sends HTTP request: </w:t>
      </w:r>
      <w:r>
        <w:rPr>
          <w:rFonts w:ascii="Arial" w:cs="Arial" w:eastAsia="Arial" w:hAnsi="Arial"/>
          <w:sz w:val="21"/>
          <w:szCs w:val="21"/>
        </w:rPr>
        <w:t xml:space="preserve">The application sends a request to http://127.0.0.1:&lt;proxy_port&gt; as a forward proxy. The request may contain a dummy or empty authentication header.</w:t>
      </w:r>
    </w:p>
    <w:p>
      <w:pPr>
        <w:pStyle w:val="ListParagraph"/>
        <w:numPr>
          <w:ilvl w:val="0"/>
          <w:numId w:val="3"/>
        </w:numPr>
        <w:spacing w:after="80" w:line="280"/>
      </w:pPr>
      <w:r>
        <w:rPr>
          <w:rFonts w:ascii="Arial" w:cs="Arial" w:eastAsia="Arial" w:hAnsi="Arial"/>
          <w:b/>
          <w:bCs/>
          <w:sz w:val="21"/>
          <w:szCs w:val="21"/>
        </w:rPr>
        <w:t xml:space="preserve">Sidecar validates destination: </w:t>
      </w:r>
      <w:r>
        <w:rPr>
          <w:rFonts w:ascii="Arial" w:cs="Arial" w:eastAsia="Arial" w:hAnsi="Arial"/>
          <w:sz w:val="21"/>
          <w:szCs w:val="21"/>
        </w:rPr>
        <w:t xml:space="preserve">The proxy extracts the target host and checks it against the allowlist.</w:t>
      </w:r>
    </w:p>
    <w:p>
      <w:pPr>
        <w:pStyle w:val="ListParagraph"/>
        <w:numPr>
          <w:ilvl w:val="0"/>
          <w:numId w:val="3"/>
        </w:numPr>
        <w:spacing w:after="80" w:line="280"/>
      </w:pPr>
      <w:r>
        <w:rPr>
          <w:rFonts w:ascii="Arial" w:cs="Arial" w:eastAsia="Arial" w:hAnsi="Arial"/>
          <w:b/>
          <w:bCs/>
          <w:sz w:val="21"/>
          <w:szCs w:val="21"/>
        </w:rPr>
        <w:t xml:space="preserve">Allowlist match → Header overwrite-replacement: </w:t>
      </w:r>
      <w:r>
        <w:rPr>
          <w:rFonts w:ascii="Arial" w:cs="Arial" w:eastAsia="Arial" w:hAnsi="Arial"/>
          <w:sz w:val="21"/>
          <w:szCs w:val="21"/>
        </w:rPr>
        <w:t xml:space="preserve">The proxy deletes any existing authentication header for the matched host, then sets exactly one header with the real secret value.</w:t>
      </w:r>
    </w:p>
    <w:p>
      <w:pPr>
        <w:pStyle w:val="ListParagraph"/>
        <w:numPr>
          <w:ilvl w:val="0"/>
          <w:numId w:val="3"/>
        </w:numPr>
        <w:spacing w:after="80" w:line="280"/>
      </w:pPr>
      <w:r>
        <w:rPr>
          <w:rFonts w:ascii="Arial" w:cs="Arial" w:eastAsia="Arial" w:hAnsi="Arial"/>
          <w:b/>
          <w:bCs/>
          <w:sz w:val="21"/>
          <w:szCs w:val="21"/>
        </w:rPr>
        <w:t xml:space="preserve">TLS origination and forwarding: </w:t>
      </w:r>
      <w:r>
        <w:rPr>
          <w:rFonts w:ascii="Arial" w:cs="Arial" w:eastAsia="Arial" w:hAnsi="Arial"/>
          <w:sz w:val="21"/>
          <w:szCs w:val="21"/>
        </w:rPr>
        <w:t xml:space="preserve">The proxy opens an HTTPS connection to the upstream API and forwards the rewritten request.</w:t>
      </w:r>
    </w:p>
    <w:p>
      <w:pPr>
        <w:pStyle w:val="ListParagraph"/>
        <w:numPr>
          <w:ilvl w:val="0"/>
          <w:numId w:val="3"/>
        </w:numPr>
        <w:spacing w:after="80" w:line="280"/>
      </w:pPr>
      <w:r>
        <w:rPr>
          <w:rFonts w:ascii="Arial" w:cs="Arial" w:eastAsia="Arial" w:hAnsi="Arial"/>
          <w:b/>
          <w:bCs/>
          <w:sz w:val="21"/>
          <w:szCs w:val="21"/>
        </w:rPr>
        <w:t xml:space="preserve">Allowlist miss → Deny: </w:t>
      </w:r>
      <w:r>
        <w:rPr>
          <w:rFonts w:ascii="Arial" w:cs="Arial" w:eastAsia="Arial" w:hAnsi="Arial"/>
          <w:sz w:val="21"/>
          <w:szCs w:val="21"/>
        </w:rPr>
        <w:t xml:space="preserve">The proxy returns an error response (e.g. 403) and logs the blocked attempt.</w:t>
      </w:r>
    </w:p>
    <w:p>
      <w:pPr>
        <w:spacing w:after="100"/>
      </w:pPr>
    </w:p>
    <w:p>
      <w:pPr>
        <w:pStyle w:val="Heading1"/>
        <w:spacing w:before="360" w:after="200"/>
      </w:pPr>
      <w:r>
        <w:rPr>
          <w:rFonts w:ascii="Arial" w:cs="Arial" w:eastAsia="Arial" w:hAnsi="Arial"/>
          <w:b/>
          <w:bCs/>
          <w:color w:val="1B3A5C"/>
          <w:sz w:val="32"/>
          <w:szCs w:val="32"/>
        </w:rPr>
        <w:t xml:space="preserve">5. Header Replacement Policy</w:t>
      </w:r>
    </w:p>
    <w:p>
      <w:pPr>
        <w:pStyle w:val="Heading2"/>
        <w:spacing w:before="280" w:after="160"/>
      </w:pPr>
      <w:r>
        <w:rPr>
          <w:rFonts w:ascii="Arial" w:cs="Arial" w:eastAsia="Arial" w:hAnsi="Arial"/>
          <w:b/>
          <w:bCs/>
          <w:color w:val="2E74B5"/>
          <w:sz w:val="26"/>
          <w:szCs w:val="26"/>
        </w:rPr>
        <w:t xml:space="preserve">5.1 Overwrite-Replace Semantics</w:t>
      </w:r>
    </w:p>
    <w:p>
      <w:pPr>
        <w:spacing w:after="140" w:line="300"/>
      </w:pPr>
      <w:r>
        <w:rPr>
          <w:rFonts w:ascii="Arial" w:cs="Arial" w:eastAsia="Arial" w:hAnsi="Arial"/>
          <w:sz w:val="21"/>
          <w:szCs w:val="21"/>
        </w:rPr>
        <w:t xml:space="preserve">When a request matches the allowlist, the sidecar performs an overwrite-replace operation on the authentication header. This means the header is first deleted (regardless of whether it exists or what value it contains), and then a single header with the real value is added. This guarantees that:</w:t>
      </w:r>
    </w:p>
    <w:p>
      <w:pPr>
        <w:pStyle w:val="ListParagraph"/>
        <w:numPr>
          <w:ilvl w:val="0"/>
          <w:numId w:val="2"/>
        </w:numPr>
        <w:spacing w:after="80" w:line="280"/>
      </w:pPr>
      <w:r>
        <w:rPr>
          <w:rFonts w:ascii="Arial" w:cs="Arial" w:eastAsia="Arial" w:hAnsi="Arial"/>
          <w:sz w:val="21"/>
          <w:szCs w:val="21"/>
        </w:rPr>
        <w:t xml:space="preserve">The application cannot smuggle a real key (it will be overwritten).</w:t>
      </w:r>
    </w:p>
    <w:p>
      <w:pPr>
        <w:pStyle w:val="ListParagraph"/>
        <w:numPr>
          <w:ilvl w:val="0"/>
          <w:numId w:val="2"/>
        </w:numPr>
        <w:spacing w:after="80" w:line="280"/>
      </w:pPr>
      <w:r>
        <w:rPr>
          <w:rFonts w:ascii="Arial" w:cs="Arial" w:eastAsia="Arial" w:hAnsi="Arial"/>
          <w:sz w:val="21"/>
          <w:szCs w:val="21"/>
        </w:rPr>
        <w:t xml:space="preserve">The application cannot cause duplicate headers (delete-then-add ensures exactly one).</w:t>
      </w:r>
    </w:p>
    <w:p>
      <w:pPr>
        <w:pStyle w:val="ListParagraph"/>
        <w:numPr>
          <w:ilvl w:val="0"/>
          <w:numId w:val="2"/>
        </w:numPr>
        <w:spacing w:after="80" w:line="280"/>
      </w:pPr>
      <w:r>
        <w:rPr>
          <w:rFonts w:ascii="Arial" w:cs="Arial" w:eastAsia="Arial" w:hAnsi="Arial"/>
          <w:sz w:val="21"/>
          <w:szCs w:val="21"/>
        </w:rPr>
        <w:t xml:space="preserve">The upstream API always receives a well-formed authentication header.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0C040" w:sz="6"/>
              <w:bottom w:val="none" w:sz="0"/>
              <w:right w:val="none" w:sz="0"/>
            </w:tcBorders>
            <w:shd w:fill="FFF8E1" w:val="clear"/>
            <w:tcMar>
              <w:top w:type="dxa" w:w="100"/>
              <w:left w:type="dxa" w:w="160"/>
              <w:bottom w:type="dxa" w:w="100"/>
              <w:right w:type="dxa" w:w="160"/>
            </w:tcMar>
          </w:tcPr>
          <w:p>
            <w:pPr>
              <w:spacing w:after="40"/>
            </w:pPr>
            <w:r>
              <w:rPr>
                <w:rFonts w:ascii="Arial" w:cs="Arial" w:eastAsia="Arial" w:hAnsi="Arial"/>
                <w:b/>
                <w:bCs/>
                <w:color w:val="F0C040"/>
                <w:sz w:val="20"/>
                <w:szCs w:val="20"/>
              </w:rPr>
              <w:t xml:space="preserve">RFC 9110 Compliance</w:t>
            </w:r>
          </w:p>
          <w:p>
            <w:pPr>
              <w:spacing w:after="0"/>
            </w:pPr>
            <w:r>
              <w:rPr>
                <w:rFonts w:ascii="Arial" w:cs="Arial" w:eastAsia="Arial" w:hAnsi="Arial"/>
                <w:sz w:val="20"/>
                <w:szCs w:val="20"/>
              </w:rPr>
              <w:t xml:space="preserve">HTTP semantics state: "a sender MUST NOT generate multiple field lines with the same name" (except for Set-Cookie and list-valued fields). The delete-then-add approach ensures conformance.</w:t>
            </w:r>
          </w:p>
        </w:tc>
      </w:tr>
    </w:tbl>
    <w:p>
      <w:pPr>
        <w:spacing w:after="100"/>
      </w:pPr>
    </w:p>
    <w:p>
      <w:pPr>
        <w:pStyle w:val="Heading2"/>
        <w:spacing w:before="280" w:after="160"/>
      </w:pPr>
      <w:r>
        <w:rPr>
          <w:rFonts w:ascii="Arial" w:cs="Arial" w:eastAsia="Arial" w:hAnsi="Arial"/>
          <w:b/>
          <w:bCs/>
          <w:color w:val="2E74B5"/>
          <w:sz w:val="26"/>
          <w:szCs w:val="26"/>
        </w:rPr>
        <w:t xml:space="preserve">5.2 Per-Host Header Mapping</w:t>
      </w:r>
    </w:p>
    <w:p>
      <w:pPr>
        <w:spacing w:after="140" w:line="300"/>
      </w:pPr>
      <w:r>
        <w:rPr>
          <w:rFonts w:ascii="Arial" w:cs="Arial" w:eastAsia="Arial" w:hAnsi="Arial"/>
          <w:sz w:val="21"/>
          <w:szCs w:val="21"/>
        </w:rPr>
        <w:t xml:space="preserve">Each allowed host maps to a specific header name and secret reference: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Destination Host</w:t>
            </w:r>
          </w:p>
        </w:tc>
        <w:tc>
          <w:tcPr>
            <w:tcW w:type="dxa" w:w="2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Header Name</w:t>
            </w:r>
          </w:p>
        </w:tc>
        <w:tc>
          <w:tcPr>
            <w:tcW w:type="dxa" w:w="37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Header Value (source)</w:t>
            </w:r>
          </w:p>
        </w:tc>
      </w:tr>
      <w:tr>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api.openai.com</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Authorization</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Bearer ${OPENAI_API_KEY}</w:t>
            </w:r>
          </w:p>
        </w:tc>
      </w:tr>
      <w:tr>
        <w:tc>
          <w:tcPr>
            <w:tcW w:type="dxa" w:w="3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api.anthropic.com</w:t>
            </w:r>
          </w:p>
        </w:tc>
        <w:tc>
          <w:tcPr>
            <w:tcW w:type="dxa" w:w="2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x-api-key</w:t>
            </w:r>
          </w:p>
        </w:tc>
        <w:tc>
          <w:tcPr>
            <w:tcW w:type="dxa" w:w="3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${ANTHROPIC_API_KEY}</w:t>
            </w:r>
          </w:p>
        </w:tc>
      </w:tr>
      <w:tr>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generativelanguage.googleapis.com</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x-goog-api-key</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${GEMINI_API_KEY}</w:t>
            </w:r>
          </w:p>
        </w:tc>
      </w:tr>
    </w:tbl>
    <w:p>
      <w:pPr>
        <w:spacing w:after="100"/>
      </w:pPr>
    </w:p>
    <w:p>
      <w:pPr>
        <w:pStyle w:val="Heading2"/>
        <w:spacing w:before="280" w:after="160"/>
      </w:pPr>
      <w:r>
        <w:rPr>
          <w:rFonts w:ascii="Arial" w:cs="Arial" w:eastAsia="Arial" w:hAnsi="Arial"/>
          <w:b/>
          <w:bCs/>
          <w:color w:val="2E74B5"/>
          <w:sz w:val="26"/>
          <w:szCs w:val="26"/>
        </w:rPr>
        <w:t xml:space="preserve">5.3 Authentication Header Reference</w:t>
      </w:r>
    </w:p>
    <w:p>
      <w:pPr>
        <w:spacing w:after="140" w:line="300"/>
      </w:pPr>
      <w:r>
        <w:rPr>
          <w:rFonts w:ascii="Arial" w:cs="Arial" w:eastAsia="Arial" w:hAnsi="Arial"/>
          <w:sz w:val="21"/>
          <w:szCs w:val="21"/>
        </w:rPr>
        <w:t xml:space="preserve">The following table summarizes the official authentication mechanism for each supported API provider: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rPr>
          <w:tblHeader/>
        </w:trPr>
        <w:tc>
          <w:tcPr>
            <w:tcW w:type="dxa" w:w="1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Provider</w:t>
            </w:r>
          </w:p>
        </w:tc>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Header</w:t>
            </w:r>
          </w:p>
        </w:tc>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Format</w:t>
            </w:r>
          </w:p>
        </w:tc>
        <w:tc>
          <w:tcPr>
            <w:tcW w:type="dxa" w:w="35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Documentation</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OpenAI</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Authorization</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Bearer &lt;key&gt;</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platform.openai.com/docs/api-reference</w:t>
            </w:r>
          </w:p>
        </w:tc>
      </w:tr>
      <w:tr>
        <w:tc>
          <w:tcPr>
            <w:tcW w:type="dxa" w:w="1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Claude (Anthropic)</w:t>
            </w:r>
          </w:p>
        </w:tc>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x-api-key</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&lt;key&gt;</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platform.claude.com/docs/en/api/overview</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Gemini (Google AI)</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x-goog-api-key</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&lt;key&gt;</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ai.google.dev/api</w:t>
            </w:r>
          </w:p>
        </w:tc>
      </w:tr>
    </w:tbl>
    <w:p>
      <w:pPr>
        <w:spacing w:after="100"/>
      </w:pPr>
    </w:p>
    <w:p>
      <w:pPr>
        <w:pStyle w:val="Heading1"/>
        <w:spacing w:before="360" w:after="200"/>
      </w:pPr>
      <w:r>
        <w:rPr>
          <w:rFonts w:ascii="Arial" w:cs="Arial" w:eastAsia="Arial" w:hAnsi="Arial"/>
          <w:b/>
          <w:bCs/>
          <w:color w:val="1B3A5C"/>
          <w:sz w:val="32"/>
          <w:szCs w:val="32"/>
        </w:rPr>
        <w:t xml:space="preserve">6. Security Design</w:t>
      </w:r>
    </w:p>
    <w:p>
      <w:pPr>
        <w:pStyle w:val="Heading2"/>
        <w:spacing w:before="280" w:after="160"/>
      </w:pPr>
      <w:r>
        <w:rPr>
          <w:rFonts w:ascii="Arial" w:cs="Arial" w:eastAsia="Arial" w:hAnsi="Arial"/>
          <w:b/>
          <w:bCs/>
          <w:color w:val="2E74B5"/>
          <w:sz w:val="26"/>
          <w:szCs w:val="26"/>
        </w:rPr>
        <w:t xml:space="preserve">6.1 Secret Storage</w:t>
      </w:r>
    </w:p>
    <w:p>
      <w:pPr>
        <w:spacing w:after="140" w:line="300"/>
      </w:pPr>
      <w:r>
        <w:rPr>
          <w:rFonts w:ascii="Arial" w:cs="Arial" w:eastAsia="Arial" w:hAnsi="Arial"/>
          <w:sz w:val="21"/>
          <w:szCs w:val="21"/>
        </w:rPr>
        <w:t xml:space="preserve">Secrets (API keys) are stored in Kubernetes Secrets (or an external secret store such as HashiCorp Vault via CSI driver). The critical constraint is that secrets are mounted only into the sidecar container. The application container has no volume mount, environment variable, or any other mechanism to access the raw key material.</w:t>
      </w:r>
    </w:p>
    <w:p>
      <w:pPr>
        <w:spacing w:after="100"/>
      </w:pPr>
    </w:p>
    <w:p>
      <w:pPr>
        <w:pStyle w:val="Heading2"/>
        <w:spacing w:before="280" w:after="160"/>
      </w:pPr>
      <w:r>
        <w:rPr>
          <w:rFonts w:ascii="Arial" w:cs="Arial" w:eastAsia="Arial" w:hAnsi="Arial"/>
          <w:b/>
          <w:bCs/>
          <w:color w:val="2E74B5"/>
          <w:sz w:val="26"/>
          <w:szCs w:val="26"/>
        </w:rPr>
        <w:t xml:space="preserve">6.2 Destination Control (Data Exfiltration Prevention)</w:t>
      </w:r>
    </w:p>
    <w:p>
      <w:pPr>
        <w:spacing w:after="140" w:line="300"/>
      </w:pPr>
      <w:r>
        <w:rPr>
          <w:rFonts w:ascii="Arial" w:cs="Arial" w:eastAsia="Arial" w:hAnsi="Arial"/>
          <w:sz w:val="21"/>
          <w:szCs w:val="21"/>
        </w:rPr>
        <w:t xml:space="preserve">The sidecar enforces a deny-by-default egress policy. Only hosts explicitly listed in the allowlist may receive forwarded requests. All other destinations are blocked, and the attempt is logged for audit purposes.</w:t>
      </w:r>
    </w:p>
    <w:p>
      <w:pPr>
        <w:spacing w:after="140" w:line="300"/>
      </w:pPr>
      <w:r>
        <w:rPr>
          <w:rFonts w:ascii="Arial" w:cs="Arial" w:eastAsia="Arial" w:hAnsi="Arial"/>
          <w:sz w:val="21"/>
          <w:szCs w:val="21"/>
        </w:rPr>
        <w:t xml:space="preserve">Example allowlist configuration: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Allowed Host</w:t>
            </w:r>
          </w:p>
        </w:tc>
        <w:tc>
          <w:tcPr>
            <w:tcW w:type="dxa" w:w="45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Purpose</w:t>
            </w:r>
          </w:p>
        </w:tc>
      </w:tr>
      <w:tr>
        <w:tc>
          <w:tcPr>
            <w:tcW w:type="dxa" w:w="48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api.openai.com</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OpenAI Chat/Completions API</w:t>
            </w:r>
          </w:p>
        </w:tc>
      </w:tr>
      <w:tr>
        <w:tc>
          <w:tcPr>
            <w:tcW w:type="dxa" w:w="4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api.anthropic.com</w:t>
            </w:r>
          </w:p>
        </w:tc>
        <w:tc>
          <w:tcPr>
            <w:tcW w:type="dxa" w:w="4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Anthropic Claude API</w:t>
            </w:r>
          </w:p>
        </w:tc>
      </w:tr>
      <w:tr>
        <w:tc>
          <w:tcPr>
            <w:tcW w:type="dxa" w:w="48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Courier New" w:cs="Courier New" w:eastAsia="Courier New" w:hAnsi="Courier New"/>
                <w:color w:val="333333"/>
                <w:sz w:val="19"/>
                <w:szCs w:val="19"/>
              </w:rPr>
              <w:t xml:space="preserve">generativelanguage.googleapis.com</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Google Gemini API</w:t>
            </w:r>
          </w:p>
        </w:tc>
      </w:tr>
    </w:tbl>
    <w:p>
      <w:pPr>
        <w:spacing w:after="100"/>
      </w:pPr>
    </w:p>
    <w:p>
      <w:pPr>
        <w:pStyle w:val="Heading2"/>
        <w:spacing w:before="280" w:after="160"/>
      </w:pPr>
      <w:r>
        <w:rPr>
          <w:rFonts w:ascii="Arial" w:cs="Arial" w:eastAsia="Arial" w:hAnsi="Arial"/>
          <w:b/>
          <w:bCs/>
          <w:color w:val="2E74B5"/>
          <w:sz w:val="26"/>
          <w:szCs w:val="26"/>
        </w:rPr>
        <w:t xml:space="preserve">6.3 Logging and Audit</w:t>
      </w:r>
    </w:p>
    <w:p>
      <w:pPr>
        <w:spacing w:after="140" w:line="300"/>
      </w:pPr>
      <w:r>
        <w:rPr>
          <w:rFonts w:ascii="Arial" w:cs="Arial" w:eastAsia="Arial" w:hAnsi="Arial"/>
          <w:sz w:val="21"/>
          <w:szCs w:val="21"/>
        </w:rPr>
        <w:t xml:space="preserve">All proxy decisions are logged with the following fields. Secret values must never appear in logs.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Log Field</w:t>
            </w:r>
          </w:p>
        </w:tc>
        <w:tc>
          <w:tcPr>
            <w:tcW w:type="dxa" w:w="33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Example</w:t>
            </w:r>
          </w:p>
        </w:tc>
        <w:tc>
          <w:tcPr>
            <w:tcW w:type="dxa" w:w="3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timestamp</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2025-02-09T12:34:56Z</w:t>
            </w:r>
          </w:p>
        </w:tc>
        <w:tc>
          <w:tcPr>
            <w:tcW w:type="dxa" w:w="3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ISO 8601 format</w:t>
            </w:r>
          </w:p>
        </w:tc>
      </w:tr>
      <w:tr>
        <w:tc>
          <w:tcPr>
            <w:tcW w:type="dxa" w:w="2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request_id</w:t>
            </w:r>
          </w:p>
        </w:tc>
        <w:tc>
          <w:tcPr>
            <w:tcW w:type="dxa" w:w="3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req-abc123</w:t>
            </w:r>
          </w:p>
        </w:tc>
        <w:tc>
          <w:tcPr>
            <w:tcW w:type="dxa" w:w="3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Unique per request</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source_pod</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sandbox-pod-xyz</w:t>
            </w:r>
          </w:p>
        </w:tc>
        <w:tc>
          <w:tcPr>
            <w:tcW w:type="dxa" w:w="3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Originating Pod name</w:t>
            </w:r>
          </w:p>
        </w:tc>
      </w:tr>
      <w:tr>
        <w:tc>
          <w:tcPr>
            <w:tcW w:type="dxa" w:w="2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destination_host</w:t>
            </w:r>
          </w:p>
        </w:tc>
        <w:tc>
          <w:tcPr>
            <w:tcW w:type="dxa" w:w="3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api.openai.com</w:t>
            </w:r>
          </w:p>
        </w:tc>
        <w:tc>
          <w:tcPr>
            <w:tcW w:type="dxa" w:w="3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Target host</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http_method</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POST</w:t>
            </w:r>
          </w:p>
        </w:tc>
        <w:tc>
          <w:tcPr>
            <w:tcW w:type="dxa" w:w="3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Request method</w:t>
            </w:r>
          </w:p>
        </w:tc>
      </w:tr>
      <w:tr>
        <w:tc>
          <w:tcPr>
            <w:tcW w:type="dxa" w:w="2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path</w:t>
            </w:r>
          </w:p>
        </w:tc>
        <w:tc>
          <w:tcPr>
            <w:tcW w:type="dxa" w:w="3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/v1/chat/completions</w:t>
            </w:r>
          </w:p>
        </w:tc>
        <w:tc>
          <w:tcPr>
            <w:tcW w:type="dxa" w:w="3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Request path (if L7 inspection enabled)</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decision</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allow / deny</w:t>
            </w:r>
          </w:p>
        </w:tc>
        <w:tc>
          <w:tcPr>
            <w:tcW w:type="dxa" w:w="3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Proxy decision</w:t>
            </w:r>
          </w:p>
        </w:tc>
      </w:tr>
      <w:tr>
        <w:tc>
          <w:tcPr>
            <w:tcW w:type="dxa" w:w="2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header_rewritten</w:t>
            </w:r>
          </w:p>
        </w:tc>
        <w:tc>
          <w:tcPr>
            <w:tcW w:type="dxa" w:w="33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yes / no</w:t>
            </w:r>
          </w:p>
        </w:tc>
        <w:tc>
          <w:tcPr>
            <w:tcW w:type="dxa" w:w="3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Whether header replacement occurred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06060" w:sz="6"/>
              <w:bottom w:val="none" w:sz="0"/>
              <w:right w:val="none" w:sz="0"/>
            </w:tcBorders>
            <w:shd w:fill="FFF0F0" w:val="clear"/>
            <w:tcMar>
              <w:top w:type="dxa" w:w="100"/>
              <w:left w:type="dxa" w:w="160"/>
              <w:bottom w:type="dxa" w:w="100"/>
              <w:right w:type="dxa" w:w="160"/>
            </w:tcMar>
          </w:tcPr>
          <w:p>
            <w:pPr>
              <w:spacing w:after="40"/>
            </w:pPr>
            <w:r>
              <w:rPr>
                <w:rFonts w:ascii="Arial" w:cs="Arial" w:eastAsia="Arial" w:hAnsi="Arial"/>
                <w:b/>
                <w:bCs/>
                <w:color w:val="E06060"/>
                <w:sz w:val="20"/>
                <w:szCs w:val="20"/>
              </w:rPr>
              <w:t xml:space="preserve">Critical: No Secrets in Logs</w:t>
            </w:r>
          </w:p>
          <w:p>
            <w:pPr>
              <w:spacing w:after="0"/>
            </w:pPr>
            <w:r>
              <w:rPr>
                <w:rFonts w:ascii="Arial" w:cs="Arial" w:eastAsia="Arial" w:hAnsi="Arial"/>
                <w:sz w:val="20"/>
                <w:szCs w:val="20"/>
              </w:rPr>
              <w:t xml:space="preserve">The proxy must never log the actual secret value. Only the fact that a header was rewritten (yes/no), the destination, and the request metadata should be recorded.</w:t>
            </w:r>
          </w:p>
        </w:tc>
      </w:tr>
    </w:tbl>
    <w:p>
      <w:pPr>
        <w:spacing w:after="100"/>
      </w:pPr>
    </w:p>
    <w:p>
      <w:pPr>
        <w:pStyle w:val="Heading1"/>
        <w:spacing w:before="360" w:after="200"/>
      </w:pPr>
      <w:r>
        <w:rPr>
          <w:rFonts w:ascii="Arial" w:cs="Arial" w:eastAsia="Arial" w:hAnsi="Arial"/>
          <w:b/>
          <w:bCs/>
          <w:color w:val="1B3A5C"/>
          <w:sz w:val="32"/>
          <w:szCs w:val="32"/>
        </w:rPr>
        <w:t xml:space="preserve">7. Implementation Options</w:t>
      </w:r>
    </w:p>
    <w:p>
      <w:pPr>
        <w:pStyle w:val="Heading2"/>
        <w:spacing w:before="280" w:after="160"/>
      </w:pPr>
      <w:r>
        <w:rPr>
          <w:rFonts w:ascii="Arial" w:cs="Arial" w:eastAsia="Arial" w:hAnsi="Arial"/>
          <w:b/>
          <w:bCs/>
          <w:color w:val="2E74B5"/>
          <w:sz w:val="26"/>
          <w:szCs w:val="26"/>
        </w:rPr>
        <w:t xml:space="preserve">7.1 Sidecar Technology Choices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Option</w:t>
            </w:r>
          </w:p>
        </w:tc>
        <w:tc>
          <w:tcPr>
            <w:tcW w:type="dxa" w:w="378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Pros</w:t>
            </w:r>
          </w:p>
        </w:tc>
        <w:tc>
          <w:tcPr>
            <w:tcW w:type="dxa" w:w="378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Envoy Proxy</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Mature HTTP filter chain; native header rewrite; built-in observability (stats, access log); widely adopted in K8s service mesh.</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Configuration complexity (xDS/YAML); larger binary footprint.</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HAProxy</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High performance; simple configuration for basic proxying.</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Less flexible L7 header manipulation; fewer built-in observability features.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Custom (Rust)</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Minimal footprint; full control over logic; no unnecessary features.</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Development and maintenance cost; must build observability from scratch.</w:t>
            </w:r>
          </w:p>
        </w:tc>
      </w:tr>
    </w:tbl>
    <w:p>
      <w:pPr>
        <w:spacing w:after="100"/>
      </w:pPr>
    </w:p>
    <w:p>
      <w:pPr>
        <w:spacing w:after="140" w:line="300"/>
      </w:pPr>
      <w:r>
        <w:rPr>
          <w:rFonts w:ascii="Arial" w:cs="Arial" w:eastAsia="Arial" w:hAnsi="Arial"/>
          <w:b/>
          <w:bCs/>
          <w:sz w:val="21"/>
          <w:szCs w:val="21"/>
        </w:rPr>
        <w:t xml:space="preserve">Recommendation: </w:t>
      </w:r>
      <w:r>
        <w:rPr>
          <w:rFonts w:ascii="Arial" w:cs="Arial" w:eastAsia="Arial" w:hAnsi="Arial"/>
          <w:sz w:val="21"/>
          <w:szCs w:val="21"/>
        </w:rPr>
        <w:t xml:space="preserve">Start with Envoy for its mature filter chain and observability. Consider a custom Rust implementation if the overhead of Envoy becomes a concern or if the proxy logic needs to diverge significantly from what Envoy’s filters support.</w:t>
      </w:r>
    </w:p>
    <w:p>
      <w:pPr>
        <w:spacing w:after="100"/>
      </w:pPr>
    </w:p>
    <w:p>
      <w:pPr>
        <w:pStyle w:val="Heading2"/>
        <w:spacing w:before="280" w:after="160"/>
      </w:pPr>
      <w:r>
        <w:rPr>
          <w:rFonts w:ascii="Arial" w:cs="Arial" w:eastAsia="Arial" w:hAnsi="Arial"/>
          <w:b/>
          <w:bCs/>
          <w:color w:val="2E74B5"/>
          <w:sz w:val="26"/>
          <w:szCs w:val="26"/>
        </w:rPr>
        <w:t xml:space="preserve">7.2 Proxy Mode</w:t>
      </w:r>
    </w:p>
    <w:p>
      <w:pPr>
        <w:spacing w:after="140" w:line="300"/>
      </w:pPr>
      <w:r>
        <w:rPr>
          <w:rFonts w:ascii="Arial" w:cs="Arial" w:eastAsia="Arial" w:hAnsi="Arial"/>
          <w:sz w:val="21"/>
          <w:szCs w:val="21"/>
        </w:rPr>
        <w:t xml:space="preserve">The initial deployment uses an explicit forward proxy (the application is configured to send requests to the sidecar’s listening address). Transparent proxying via iptables redirect is available as a future enhancement, but explicit mode is simpler to reason about and debug.</w:t>
      </w:r>
    </w:p>
    <w:p>
      <w:pPr>
        <w:spacing w:after="100"/>
      </w:pPr>
    </w:p>
    <w:p>
      <w:pPr>
        <w:pStyle w:val="Heading1"/>
        <w:spacing w:before="360" w:after="200"/>
      </w:pPr>
      <w:r>
        <w:rPr>
          <w:rFonts w:ascii="Arial" w:cs="Arial" w:eastAsia="Arial" w:hAnsi="Arial"/>
          <w:b/>
          <w:bCs/>
          <w:color w:val="1B3A5C"/>
          <w:sz w:val="32"/>
          <w:szCs w:val="32"/>
        </w:rPr>
        <w:t xml:space="preserve">8. Configuration Interface</w:t>
      </w:r>
    </w:p>
    <w:p>
      <w:pPr>
        <w:spacing w:after="140" w:line="300"/>
      </w:pPr>
      <w:r>
        <w:rPr>
          <w:rFonts w:ascii="Arial" w:cs="Arial" w:eastAsia="Arial" w:hAnsi="Arial"/>
          <w:sz w:val="21"/>
          <w:szCs w:val="21"/>
        </w:rPr>
        <w:t xml:space="preserve">The sidecar is configured with two core data structures: the allowlist (which hosts are permitted) and the header replacement map (which header to inject for each host).</w:t>
      </w:r>
    </w:p>
    <w:p>
      <w:pPr>
        <w:spacing w:after="100"/>
      </w:pPr>
    </w:p>
    <w:p>
      <w:pPr>
        <w:pStyle w:val="Heading2"/>
        <w:spacing w:before="280" w:after="160"/>
      </w:pPr>
      <w:r>
        <w:rPr>
          <w:rFonts w:ascii="Arial" w:cs="Arial" w:eastAsia="Arial" w:hAnsi="Arial"/>
          <w:b/>
          <w:bCs/>
          <w:color w:val="2E74B5"/>
          <w:sz w:val="26"/>
          <w:szCs w:val="26"/>
        </w:rPr>
        <w:t xml:space="preserve">8.1 Allowlist</w:t>
      </w:r>
    </w:p>
    <w:p>
      <w:pPr>
        <w:spacing w:after="140" w:line="300"/>
      </w:pPr>
      <w:r>
        <w:rPr>
          <w:rFonts w:ascii="Arial" w:cs="Arial" w:eastAsia="Arial" w:hAnsi="Arial"/>
          <w:sz w:val="21"/>
          <w:szCs w:val="21"/>
        </w:rPr>
        <w:t xml:space="preserve">A list of permitted destination hosts. Any request to a host not in this list is denied.</w:t>
      </w:r>
    </w:p>
    <w:p>
      <w:pPr>
        <w:spacing w:after="100"/>
      </w:pPr>
    </w:p>
    <w:p>
      <w:pPr>
        <w:pStyle w:val="Heading2"/>
        <w:spacing w:before="280" w:after="160"/>
      </w:pPr>
      <w:r>
        <w:rPr>
          <w:rFonts w:ascii="Arial" w:cs="Arial" w:eastAsia="Arial" w:hAnsi="Arial"/>
          <w:b/>
          <w:bCs/>
          <w:color w:val="2E74B5"/>
          <w:sz w:val="26"/>
          <w:szCs w:val="26"/>
        </w:rPr>
        <w:t xml:space="preserve">8.2 Header Replacement Map</w:t>
      </w:r>
    </w:p>
    <w:p>
      <w:pPr>
        <w:spacing w:after="140" w:line="300"/>
      </w:pPr>
      <w:r>
        <w:rPr>
          <w:rFonts w:ascii="Arial" w:cs="Arial" w:eastAsia="Arial" w:hAnsi="Arial"/>
          <w:sz w:val="21"/>
          <w:szCs w:val="21"/>
        </w:rPr>
        <w:t xml:space="preserve">For each allowed host, the map specifies the header name to rewrite and the Kubernetes Secret key that holds the real value.</w:t>
      </w:r>
    </w:p>
    <w:p>
      <w:pPr>
        <w:spacing w:after="100"/>
      </w:pPr>
    </w:p>
    <w:p>
      <w:pPr>
        <w:pStyle w:val="Heading2"/>
        <w:spacing w:before="280" w:after="160"/>
      </w:pPr>
      <w:r>
        <w:rPr>
          <w:rFonts w:ascii="Arial" w:cs="Arial" w:eastAsia="Arial" w:hAnsi="Arial"/>
          <w:b/>
          <w:bCs/>
          <w:color w:val="2E74B5"/>
          <w:sz w:val="26"/>
          <w:szCs w:val="26"/>
        </w:rPr>
        <w:t xml:space="preserve">8.3 Example Configuration (YAML)</w:t>
      </w:r>
    </w:p>
    <w:p>
      <w:pPr>
        <w:spacing w:after="140" w:line="300"/>
      </w:pPr>
      <w:r>
        <w:rPr>
          <w:rFonts w:ascii="Courier New" w:cs="Courier New" w:eastAsia="Courier New" w:hAnsi="Courier New"/>
          <w:color w:val="333333"/>
          <w:sz w:val="19"/>
          <w:szCs w:val="19"/>
        </w:rPr>
        <w:t xml:space="preserve">egress_policy:</w:t>
      </w:r>
    </w:p>
    <w:p>
      <w:pPr>
        <w:spacing w:after="140" w:line="300"/>
      </w:pPr>
      <w:r>
        <w:rPr>
          <w:rFonts w:ascii="Courier New" w:cs="Courier New" w:eastAsia="Courier New" w:hAnsi="Courier New"/>
          <w:color w:val="333333"/>
          <w:sz w:val="19"/>
          <w:szCs w:val="19"/>
        </w:rPr>
        <w:t xml:space="preserve">  default_action: deny</w:t>
      </w:r>
    </w:p>
    <w:p>
      <w:pPr>
        <w:spacing w:after="140" w:line="300"/>
      </w:pPr>
      <w:r>
        <w:rPr>
          <w:rFonts w:ascii="Courier New" w:cs="Courier New" w:eastAsia="Courier New" w:hAnsi="Courier New"/>
          <w:color w:val="333333"/>
          <w:sz w:val="19"/>
          <w:szCs w:val="19"/>
        </w:rPr>
        <w:t xml:space="preserve">  rules:</w:t>
      </w:r>
    </w:p>
    <w:p>
      <w:pPr>
        <w:spacing w:after="140" w:line="300"/>
      </w:pPr>
      <w:r>
        <w:rPr>
          <w:rFonts w:ascii="Courier New" w:cs="Courier New" w:eastAsia="Courier New" w:hAnsi="Courier New"/>
          <w:color w:val="333333"/>
          <w:sz w:val="19"/>
          <w:szCs w:val="19"/>
        </w:rPr>
        <w:t xml:space="preserve">    - host: api.openai.com</w:t>
      </w:r>
    </w:p>
    <w:p>
      <w:pPr>
        <w:spacing w:after="140" w:line="300"/>
      </w:pPr>
      <w:r>
        <w:rPr>
          <w:rFonts w:ascii="Courier New" w:cs="Courier New" w:eastAsia="Courier New" w:hAnsi="Courier New"/>
          <w:color w:val="333333"/>
          <w:sz w:val="19"/>
          <w:szCs w:val="19"/>
        </w:rPr>
        <w:t xml:space="preserve">      action: allow</w:t>
      </w:r>
    </w:p>
    <w:p>
      <w:pPr>
        <w:spacing w:after="140" w:line="300"/>
      </w:pPr>
      <w:r>
        <w:rPr>
          <w:rFonts w:ascii="Courier New" w:cs="Courier New" w:eastAsia="Courier New" w:hAnsi="Courier New"/>
          <w:color w:val="333333"/>
          <w:sz w:val="19"/>
          <w:szCs w:val="19"/>
        </w:rPr>
        <w:t xml:space="preserve">      header_rewrite:</w:t>
      </w:r>
    </w:p>
    <w:p>
      <w:pPr>
        <w:spacing w:after="140" w:line="300"/>
      </w:pPr>
      <w:r>
        <w:rPr>
          <w:rFonts w:ascii="Courier New" w:cs="Courier New" w:eastAsia="Courier New" w:hAnsi="Courier New"/>
          <w:color w:val="333333"/>
          <w:sz w:val="19"/>
          <w:szCs w:val="19"/>
        </w:rPr>
        <w:t xml:space="preserve">        name: Authorization</w:t>
      </w:r>
    </w:p>
    <w:p>
      <w:pPr>
        <w:spacing w:after="140" w:line="300"/>
      </w:pPr>
      <w:r>
        <w:rPr>
          <w:rFonts w:ascii="Courier New" w:cs="Courier New" w:eastAsia="Courier New" w:hAnsi="Courier New"/>
          <w:color w:val="333333"/>
          <w:sz w:val="19"/>
          <w:szCs w:val="19"/>
        </w:rPr>
        <w:t xml:space="preserve">        value_from_secret: openai-api-key</w:t>
      </w:r>
    </w:p>
    <w:p>
      <w:pPr>
        <w:spacing w:after="140" w:line="300"/>
      </w:pPr>
      <w:r>
        <w:rPr>
          <w:rFonts w:ascii="Courier New" w:cs="Courier New" w:eastAsia="Courier New" w:hAnsi="Courier New"/>
          <w:color w:val="333333"/>
          <w:sz w:val="19"/>
          <w:szCs w:val="19"/>
        </w:rPr>
        <w:t xml:space="preserve">        format: "Bearer {value}"</w:t>
      </w:r>
    </w:p>
    <w:p>
      <w:pPr>
        <w:spacing w:after="140" w:line="300"/>
      </w:pPr>
      <w:r>
        <w:rPr>
          <w:rFonts w:ascii="Courier New" w:cs="Courier New" w:eastAsia="Courier New" w:hAnsi="Courier New"/>
          <w:color w:val="333333"/>
          <w:sz w:val="19"/>
          <w:szCs w:val="19"/>
        </w:rPr>
        <w:t xml:space="preserve">    - host: api.anthropic.com</w:t>
      </w:r>
    </w:p>
    <w:p>
      <w:pPr>
        <w:spacing w:after="140" w:line="300"/>
      </w:pPr>
      <w:r>
        <w:rPr>
          <w:rFonts w:ascii="Courier New" w:cs="Courier New" w:eastAsia="Courier New" w:hAnsi="Courier New"/>
          <w:color w:val="333333"/>
          <w:sz w:val="19"/>
          <w:szCs w:val="19"/>
        </w:rPr>
        <w:t xml:space="preserve">      action: allow</w:t>
      </w:r>
    </w:p>
    <w:p>
      <w:pPr>
        <w:spacing w:after="140" w:line="300"/>
      </w:pPr>
      <w:r>
        <w:rPr>
          <w:rFonts w:ascii="Courier New" w:cs="Courier New" w:eastAsia="Courier New" w:hAnsi="Courier New"/>
          <w:color w:val="333333"/>
          <w:sz w:val="19"/>
          <w:szCs w:val="19"/>
        </w:rPr>
        <w:t xml:space="preserve">      header_rewrite:</w:t>
      </w:r>
    </w:p>
    <w:p>
      <w:pPr>
        <w:spacing w:after="140" w:line="300"/>
      </w:pPr>
      <w:r>
        <w:rPr>
          <w:rFonts w:ascii="Courier New" w:cs="Courier New" w:eastAsia="Courier New" w:hAnsi="Courier New"/>
          <w:color w:val="333333"/>
          <w:sz w:val="19"/>
          <w:szCs w:val="19"/>
        </w:rPr>
        <w:t xml:space="preserve">        name: x-api-key</w:t>
      </w:r>
    </w:p>
    <w:p>
      <w:pPr>
        <w:spacing w:after="140" w:line="300"/>
      </w:pPr>
      <w:r>
        <w:rPr>
          <w:rFonts w:ascii="Courier New" w:cs="Courier New" w:eastAsia="Courier New" w:hAnsi="Courier New"/>
          <w:color w:val="333333"/>
          <w:sz w:val="19"/>
          <w:szCs w:val="19"/>
        </w:rPr>
        <w:t xml:space="preserve">        value_from_secret: anthropic-api-key</w:t>
      </w:r>
    </w:p>
    <w:p>
      <w:pPr>
        <w:spacing w:after="140" w:line="300"/>
      </w:pPr>
      <w:r>
        <w:rPr>
          <w:rFonts w:ascii="Courier New" w:cs="Courier New" w:eastAsia="Courier New" w:hAnsi="Courier New"/>
          <w:color w:val="333333"/>
          <w:sz w:val="19"/>
          <w:szCs w:val="19"/>
        </w:rPr>
        <w:t xml:space="preserve">    - host: generativelanguage.googleapis.com</w:t>
      </w:r>
    </w:p>
    <w:p>
      <w:pPr>
        <w:spacing w:after="140" w:line="300"/>
      </w:pPr>
      <w:r>
        <w:rPr>
          <w:rFonts w:ascii="Courier New" w:cs="Courier New" w:eastAsia="Courier New" w:hAnsi="Courier New"/>
          <w:color w:val="333333"/>
          <w:sz w:val="19"/>
          <w:szCs w:val="19"/>
        </w:rPr>
        <w:t xml:space="preserve">      action: allow</w:t>
      </w:r>
    </w:p>
    <w:p>
      <w:pPr>
        <w:spacing w:after="140" w:line="300"/>
      </w:pPr>
      <w:r>
        <w:rPr>
          <w:rFonts w:ascii="Courier New" w:cs="Courier New" w:eastAsia="Courier New" w:hAnsi="Courier New"/>
          <w:color w:val="333333"/>
          <w:sz w:val="19"/>
          <w:szCs w:val="19"/>
        </w:rPr>
        <w:t xml:space="preserve">      header_rewrite:</w:t>
      </w:r>
    </w:p>
    <w:p>
      <w:pPr>
        <w:spacing w:after="140" w:line="300"/>
      </w:pPr>
      <w:r>
        <w:rPr>
          <w:rFonts w:ascii="Courier New" w:cs="Courier New" w:eastAsia="Courier New" w:hAnsi="Courier New"/>
          <w:color w:val="333333"/>
          <w:sz w:val="19"/>
          <w:szCs w:val="19"/>
        </w:rPr>
        <w:t xml:space="preserve">        name: x-goog-api-key</w:t>
      </w:r>
    </w:p>
    <w:p>
      <w:pPr>
        <w:spacing w:after="140" w:line="300"/>
      </w:pPr>
      <w:r>
        <w:rPr>
          <w:rFonts w:ascii="Courier New" w:cs="Courier New" w:eastAsia="Courier New" w:hAnsi="Courier New"/>
          <w:color w:val="333333"/>
          <w:sz w:val="19"/>
          <w:szCs w:val="19"/>
        </w:rPr>
        <w:t xml:space="preserve">        value_from_secret: gemini-api-key</w:t>
      </w:r>
    </w:p>
    <w:p>
      <w:pPr>
        <w:spacing w:after="100"/>
      </w:pPr>
    </w:p>
    <w:p>
      <w:pPr>
        <w:pStyle w:val="Heading1"/>
        <w:spacing w:before="360" w:after="200"/>
      </w:pPr>
      <w:r>
        <w:rPr>
          <w:rFonts w:ascii="Arial" w:cs="Arial" w:eastAsia="Arial" w:hAnsi="Arial"/>
          <w:b/>
          <w:bCs/>
          <w:color w:val="1B3A5C"/>
          <w:sz w:val="32"/>
          <w:szCs w:val="32"/>
        </w:rPr>
        <w:t xml:space="preserve">9. Observability and Operations</w:t>
      </w:r>
    </w:p>
    <w:p>
      <w:pPr>
        <w:pStyle w:val="Heading2"/>
        <w:spacing w:before="280" w:after="160"/>
      </w:pPr>
      <w:r>
        <w:rPr>
          <w:rFonts w:ascii="Arial" w:cs="Arial" w:eastAsia="Arial" w:hAnsi="Arial"/>
          <w:b/>
          <w:bCs/>
          <w:color w:val="2E74B5"/>
          <w:sz w:val="26"/>
          <w:szCs w:val="26"/>
        </w:rPr>
        <w:t xml:space="preserve">9.1 Metrics</w:t>
      </w:r>
    </w:p>
    <w:p>
      <w:pPr>
        <w:pStyle w:val="ListParagraph"/>
        <w:numPr>
          <w:ilvl w:val="0"/>
          <w:numId w:val="2"/>
        </w:numPr>
        <w:spacing w:after="80" w:line="280"/>
      </w:pPr>
      <w:r>
        <w:rPr>
          <w:rFonts w:ascii="Arial" w:cs="Arial" w:eastAsia="Arial" w:hAnsi="Arial"/>
          <w:b/>
          <w:bCs/>
          <w:sz w:val="21"/>
          <w:szCs w:val="21"/>
        </w:rPr>
        <w:t xml:space="preserve">egress_requests_total</w:t>
      </w:r>
      <w:r>
        <w:rPr>
          <w:rFonts w:ascii="Arial" w:cs="Arial" w:eastAsia="Arial" w:hAnsi="Arial"/>
          <w:sz w:val="21"/>
          <w:szCs w:val="21"/>
        </w:rPr>
        <w:t xml:space="preserve"> (labels: host, decision=allow|deny) — Total request count by destination and decision.</w:t>
      </w:r>
    </w:p>
    <w:p>
      <w:pPr>
        <w:pStyle w:val="ListParagraph"/>
        <w:numPr>
          <w:ilvl w:val="0"/>
          <w:numId w:val="2"/>
        </w:numPr>
        <w:spacing w:after="80" w:line="280"/>
      </w:pPr>
      <w:r>
        <w:rPr>
          <w:rFonts w:ascii="Arial" w:cs="Arial" w:eastAsia="Arial" w:hAnsi="Arial"/>
          <w:b/>
          <w:bCs/>
          <w:sz w:val="21"/>
          <w:szCs w:val="21"/>
        </w:rPr>
        <w:t xml:space="preserve">egress_header_rewrites_total</w:t>
      </w:r>
      <w:r>
        <w:rPr>
          <w:rFonts w:ascii="Arial" w:cs="Arial" w:eastAsia="Arial" w:hAnsi="Arial"/>
          <w:sz w:val="21"/>
          <w:szCs w:val="21"/>
        </w:rPr>
        <w:t xml:space="preserve"> (labels: host) — Number of header replacement operations.</w:t>
      </w:r>
    </w:p>
    <w:p>
      <w:pPr>
        <w:pStyle w:val="ListParagraph"/>
        <w:numPr>
          <w:ilvl w:val="0"/>
          <w:numId w:val="2"/>
        </w:numPr>
        <w:spacing w:after="80" w:line="280"/>
      </w:pPr>
      <w:r>
        <w:rPr>
          <w:rFonts w:ascii="Arial" w:cs="Arial" w:eastAsia="Arial" w:hAnsi="Arial"/>
          <w:b/>
          <w:bCs/>
          <w:sz w:val="21"/>
          <w:szCs w:val="21"/>
        </w:rPr>
        <w:t xml:space="preserve">egress_upstream_errors_total</w:t>
      </w:r>
      <w:r>
        <w:rPr>
          <w:rFonts w:ascii="Arial" w:cs="Arial" w:eastAsia="Arial" w:hAnsi="Arial"/>
          <w:sz w:val="21"/>
          <w:szCs w:val="21"/>
        </w:rPr>
        <w:t xml:space="preserve"> (labels: host, status_code) — Upstream API error rate.</w:t>
      </w:r>
    </w:p>
    <w:p>
      <w:pPr>
        <w:pStyle w:val="ListParagraph"/>
        <w:numPr>
          <w:ilvl w:val="0"/>
          <w:numId w:val="2"/>
        </w:numPr>
        <w:spacing w:after="80" w:line="280"/>
      </w:pPr>
      <w:r>
        <w:rPr>
          <w:rFonts w:ascii="Arial" w:cs="Arial" w:eastAsia="Arial" w:hAnsi="Arial"/>
          <w:b/>
          <w:bCs/>
          <w:sz w:val="21"/>
          <w:szCs w:val="21"/>
        </w:rPr>
        <w:t xml:space="preserve">egress_request_duration_seconds</w:t>
      </w:r>
      <w:r>
        <w:rPr>
          <w:rFonts w:ascii="Arial" w:cs="Arial" w:eastAsia="Arial" w:hAnsi="Arial"/>
          <w:sz w:val="21"/>
          <w:szCs w:val="21"/>
        </w:rPr>
        <w:t xml:space="preserve"> (labels: host) — Latency distribution for proxied requests.</w:t>
      </w:r>
    </w:p>
    <w:p>
      <w:pPr>
        <w:spacing w:after="100"/>
      </w:pPr>
    </w:p>
    <w:p>
      <w:pPr>
        <w:pStyle w:val="Heading2"/>
        <w:spacing w:before="280" w:after="160"/>
      </w:pPr>
      <w:r>
        <w:rPr>
          <w:rFonts w:ascii="Arial" w:cs="Arial" w:eastAsia="Arial" w:hAnsi="Arial"/>
          <w:b/>
          <w:bCs/>
          <w:color w:val="2E74B5"/>
          <w:sz w:val="26"/>
          <w:szCs w:val="26"/>
        </w:rPr>
        <w:t xml:space="preserve">9.2 Alerts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80"/>
        <w:gridCol w:w="3180"/>
      </w:tblGrid>
      <w:tr>
        <w:trPr>
          <w:tblHeader/>
        </w:trPr>
        <w:tc>
          <w:tcPr>
            <w:tcW w:type="dxa" w:w="2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Alert Name</w:t>
            </w:r>
          </w:p>
        </w:tc>
        <w:tc>
          <w:tcPr>
            <w:tcW w:type="dxa" w:w="378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Condition</w:t>
            </w:r>
          </w:p>
        </w:tc>
        <w:tc>
          <w:tcPr>
            <w:tcW w:type="dxa" w:w="318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Possible Cause</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DenySurge</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deny count increases sharply over a 5-minute window</w:t>
            </w:r>
          </w:p>
        </w:tc>
        <w:tc>
          <w:tcPr>
            <w:tcW w:type="dxa" w:w="318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Exfiltration attempt or allowlist misconfiguration</w:t>
            </w:r>
          </w:p>
        </w:tc>
      </w:tr>
      <w:tr>
        <w:tc>
          <w:tcPr>
            <w:tcW w:type="dxa" w:w="24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UpstreamFailureRate</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Error rate for a specific upstream exceeds threshold</w:t>
            </w:r>
          </w:p>
        </w:tc>
        <w:tc>
          <w:tcPr>
            <w:tcW w:type="dxa" w:w="31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Upstream API degradation or expired key</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ProxyDown</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Sidecar health check fails</w:t>
            </w:r>
          </w:p>
        </w:tc>
        <w:tc>
          <w:tcPr>
            <w:tcW w:type="dxa" w:w="318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Sidecar crash or resource exhaustion</w:t>
            </w:r>
          </w:p>
        </w:tc>
      </w:tr>
    </w:tbl>
    <w:p>
      <w:pPr>
        <w:spacing w:after="100"/>
      </w:pPr>
    </w:p>
    <w:p>
      <w:pPr>
        <w:pStyle w:val="Heading1"/>
        <w:spacing w:before="360" w:after="200"/>
      </w:pPr>
      <w:r>
        <w:rPr>
          <w:rFonts w:ascii="Arial" w:cs="Arial" w:eastAsia="Arial" w:hAnsi="Arial"/>
          <w:b/>
          <w:bCs/>
          <w:color w:val="1B3A5C"/>
          <w:sz w:val="32"/>
          <w:szCs w:val="32"/>
        </w:rPr>
        <w:t xml:space="preserve">10. Risks and Mitigations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600"/>
        <w:gridCol w:w="3560"/>
      </w:tblGrid>
      <w:tr>
        <w:trPr>
          <w:tblHeader/>
        </w:trPr>
        <w:tc>
          <w:tcPr>
            <w:tcW w:type="dxa" w:w="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ID</w:t>
            </w:r>
          </w:p>
        </w:tc>
        <w:tc>
          <w:tcPr>
            <w:tcW w:type="dxa" w:w="2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Risk</w:t>
            </w:r>
          </w:p>
        </w:tc>
        <w:tc>
          <w:tcPr>
            <w:tcW w:type="dxa" w:w="2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Impact</w:t>
            </w:r>
          </w:p>
        </w:tc>
        <w:tc>
          <w:tcPr>
            <w:tcW w:type="dxa" w:w="35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Mitigation</w:t>
            </w:r>
          </w:p>
        </w:tc>
      </w:tr>
      <w:tr>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R1</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Application bypasses proxy by making direct HTTPS connections to external hosts</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Secret injection is bypassed; uncontrolled egress</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Apply Kubernetes NetworkPolicy and/or iptables rules to ensure all outbound traffic from the application container is routed through the sidecar proxy. Deploy in phases: observe, then enforce.</w:t>
            </w:r>
          </w:p>
        </w:tc>
      </w:tr>
      <w:tr>
        <w:tc>
          <w:tcPr>
            <w:tcW w:type="dxa" w:w="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R2</w:t>
            </w:r>
          </w:p>
        </w:tc>
        <w:tc>
          <w:tcPr>
            <w:tcW w:type="dxa" w:w="2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Localhost HTTP traffic (App → Sidecar) can be intercepted by a privileged process on the same node</w:t>
            </w:r>
          </w:p>
        </w:tc>
        <w:tc>
          <w:tcPr>
            <w:tcW w:type="dxa" w:w="2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An attacker with node-level access could sniff the plaintext request (though it contains only dummy keys, the response may contain sensitive data)</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For higher-security environments, consider: (a) an out-of-Pod egress gateway, (b) mTLS between app and sidecar, or (c) UID-based network namespace isolation.</w:t>
            </w:r>
          </w:p>
        </w:tc>
      </w:tr>
      <w:tr>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R3</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Allowlist misconfiguration blocks legitimate traffic</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Application functionality breaks</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Roll out allowlist changes gradually. Monitor deny logs and set alerts for unexpected blocks. Provide a dry-run/audit mode that logs but does not block.</w:t>
            </w:r>
          </w:p>
        </w:tc>
      </w:tr>
      <w:tr>
        <w:tc>
          <w:tcPr>
            <w:tcW w:type="dxa" w:w="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R4</w:t>
            </w:r>
          </w:p>
        </w:tc>
        <w:tc>
          <w:tcPr>
            <w:tcW w:type="dxa" w:w="2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Secret rotation requires sidecar restart</w:t>
            </w:r>
          </w:p>
        </w:tc>
        <w:tc>
          <w:tcPr>
            <w:tcW w:type="dxa" w:w="2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Temporary service disruption during key rotation</w:t>
            </w:r>
          </w:p>
        </w:tc>
        <w:tc>
          <w:tcPr>
            <w:tcW w:type="dxa" w:w="3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Use a secret store with dynamic reloading (e.g. Vault Agent sidecar, or Kubernetes Secret with inotify-based reload). Alternatively, implement graceful restart with zero-downtime handoff.</w:t>
            </w:r>
          </w:p>
        </w:tc>
      </w:tr>
    </w:tbl>
    <w:p>
      <w:pPr>
        <w:spacing w:after="100"/>
      </w:pPr>
    </w:p>
    <w:p>
      <w:pPr>
        <w:pStyle w:val="Heading1"/>
        <w:spacing w:before="360" w:after="200"/>
      </w:pPr>
      <w:r>
        <w:rPr>
          <w:rFonts w:ascii="Arial" w:cs="Arial" w:eastAsia="Arial" w:hAnsi="Arial"/>
          <w:b/>
          <w:bCs/>
          <w:color w:val="1B3A5C"/>
          <w:sz w:val="32"/>
          <w:szCs w:val="32"/>
        </w:rPr>
        <w:t xml:space="preserve">11. Decision Log</w:t>
      </w:r>
    </w:p>
    <w:p>
      <w:pPr>
        <w:spacing w:after="140" w:line="300"/>
      </w:pPr>
      <w:r>
        <w:rPr>
          <w:rFonts w:ascii="Arial" w:cs="Arial" w:eastAsia="Arial" w:hAnsi="Arial"/>
          <w:sz w:val="21"/>
          <w:szCs w:val="21"/>
        </w:rPr>
        <w:t xml:space="preserve">The following decisions have been made and are reflected throughout this document: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t>
            </w:r>
          </w:p>
        </w:tc>
        <w:tc>
          <w:tcPr>
            <w:tcW w:type="dxa" w:w="3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Decision</w:t>
            </w:r>
          </w:p>
        </w:tc>
        <w:tc>
          <w:tcPr>
            <w:tcW w:type="dxa" w:w="51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Rationale</w:t>
            </w:r>
          </w:p>
        </w:tc>
      </w:tr>
      <w:tr>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D1</w:t>
            </w:r>
          </w:p>
        </w:tc>
        <w:tc>
          <w:tcPr>
            <w:tcW w:type="dxa" w:w="3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Architecture Pattern A (App→Sidecar: HTTP, Sidecar→External: HTTPS)</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Allows the sidecar to inspect and rewrite HTTP headers without MITM certificates. Simplest approach for header injection.</w:t>
            </w:r>
          </w:p>
        </w:tc>
      </w:tr>
      <w:tr>
        <w:tc>
          <w:tcPr>
            <w:tcW w:type="dxa" w:w="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D2</w:t>
            </w:r>
          </w:p>
        </w:tc>
        <w:tc>
          <w:tcPr>
            <w:tcW w:type="dxa" w:w="3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Overwrite-replace semantics for authentication headers (delete then add one)</w:t>
            </w:r>
          </w:p>
        </w:tc>
        <w:tc>
          <w:tcPr>
            <w:tcW w:type="dxa" w:w="5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Prevents duplicate headers (RFC 9110 compliance). Prevents the app from smuggling its own key.</w:t>
            </w:r>
          </w:p>
        </w:tc>
      </w:tr>
      <w:tr>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D3</w:t>
            </w:r>
          </w:p>
        </w:tc>
        <w:tc>
          <w:tcPr>
            <w:tcW w:type="dxa" w:w="3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Deny-by-default with host allowlist</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Minimizes attack surface. Only explicitly approved destinations receive traffic.</w:t>
            </w:r>
          </w:p>
        </w:tc>
      </w:tr>
      <w:tr>
        <w:tc>
          <w:tcPr>
            <w:tcW w:type="dxa" w:w="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D4</w:t>
            </w:r>
          </w:p>
        </w:tc>
        <w:tc>
          <w:tcPr>
            <w:tcW w:type="dxa" w:w="3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Secrets mounted only in sidecar container</w:t>
            </w:r>
          </w:p>
        </w:tc>
        <w:tc>
          <w:tcPr>
            <w:tcW w:type="dxa" w:w="51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Application code never has access to key material, consistent with the Deno Sandbox principle.</w:t>
            </w:r>
          </w:p>
        </w:tc>
      </w:tr>
      <w:tr>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D5</w:t>
            </w:r>
          </w:p>
        </w:tc>
        <w:tc>
          <w:tcPr>
            <w:tcW w:type="dxa" w:w="3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Explicit forward proxy (not transparent) for initial deployment</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Easier to debug and reason about. Transparent mode is a future option.</w:t>
            </w:r>
          </w:p>
        </w:tc>
      </w:tr>
    </w:tbl>
    <w:p>
      <w:pPr>
        <w:spacing w:after="100"/>
      </w:pPr>
    </w:p>
    <w:p>
      <w:pPr>
        <w:pStyle w:val="Heading1"/>
        <w:spacing w:before="360" w:after="200"/>
      </w:pPr>
      <w:r>
        <w:rPr>
          <w:rFonts w:ascii="Arial" w:cs="Arial" w:eastAsia="Arial" w:hAnsi="Arial"/>
          <w:b/>
          <w:bCs/>
          <w:color w:val="1B3A5C"/>
          <w:sz w:val="32"/>
          <w:szCs w:val="32"/>
        </w:rPr>
        <w:t xml:space="preserve">12. References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t>
            </w:r>
          </w:p>
        </w:tc>
        <w:tc>
          <w:tcPr>
            <w:tcW w:type="dxa" w:w="3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Title / Description</w:t>
            </w:r>
          </w:p>
        </w:tc>
        <w:tc>
          <w:tcPr>
            <w:tcW w:type="dxa" w:w="52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URL</w:t>
            </w:r>
          </w:p>
        </w:tc>
      </w:tr>
      <w:tr>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Deno Sandbox Beta Release (Maguro)</w:t>
            </w:r>
          </w:p>
        </w:tc>
        <w:tc>
          <w:tcPr>
            <w:tcW w:type="dxa" w:w="52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https://maguro.dev/blog/deno-sandbox-beta/</w:t>
            </w:r>
          </w:p>
        </w:tc>
      </w:tr>
      <w:tr>
        <w:tc>
          <w:tcPr>
            <w:tcW w:type="dxa" w:w="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3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Introducing Deno Sandbox (Official)</w:t>
            </w:r>
          </w:p>
        </w:tc>
        <w:tc>
          <w:tcPr>
            <w:tcW w:type="dxa" w:w="52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https://deno.com/blog/introducing-deno-sandbox</w:t>
            </w:r>
          </w:p>
        </w:tc>
      </w:tr>
      <w:tr>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OpenAI API Reference</w:t>
            </w:r>
          </w:p>
        </w:tc>
        <w:tc>
          <w:tcPr>
            <w:tcW w:type="dxa" w:w="52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https://platform.openai.com/docs/api-reference/introduction</w:t>
            </w:r>
          </w:p>
        </w:tc>
      </w:tr>
      <w:tr>
        <w:tc>
          <w:tcPr>
            <w:tcW w:type="dxa" w:w="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4</w:t>
            </w:r>
          </w:p>
        </w:tc>
        <w:tc>
          <w:tcPr>
            <w:tcW w:type="dxa" w:w="3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Claude API Overview (Anthropic)</w:t>
            </w:r>
          </w:p>
        </w:tc>
        <w:tc>
          <w:tcPr>
            <w:tcW w:type="dxa" w:w="52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https://platform.claude.com/docs/en/api/overview</w:t>
            </w:r>
          </w:p>
        </w:tc>
      </w:tr>
      <w:tr>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Gemini API Reference (Google AI)</w:t>
            </w:r>
          </w:p>
        </w:tc>
        <w:tc>
          <w:tcPr>
            <w:tcW w:type="dxa" w:w="52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https://ai.google.dev/api</w:t>
            </w:r>
          </w:p>
        </w:tc>
      </w:tr>
      <w:tr>
        <w:tc>
          <w:tcPr>
            <w:tcW w:type="dxa" w:w="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6</w:t>
            </w:r>
          </w:p>
        </w:tc>
        <w:tc>
          <w:tcPr>
            <w:tcW w:type="dxa" w:w="3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RFC 9110 — HTTP Semantics</w:t>
            </w:r>
          </w:p>
        </w:tc>
        <w:tc>
          <w:tcPr>
            <w:tcW w:type="dxa" w:w="52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https://datatracker.ietf.org/doc/html/rfc9110</w:t>
            </w:r>
          </w:p>
        </w:tc>
      </w:tr>
      <w:tr>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7</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Deno Deploy Sandbox</w:t>
            </w:r>
          </w:p>
        </w:tc>
        <w:tc>
          <w:tcPr>
            <w:tcW w:type="dxa" w:w="5260"/>
            <w:tcBorders>
              <w:top w:val="single" w:color="B0C4DE" w:sz="1"/>
              <w:left w:val="single" w:color="B0C4DE" w:sz="1"/>
              <w:bottom w:val="single" w:color="B0C4DE" w:sz="1"/>
              <w:right w:val="single" w:color="B0C4DE" w:sz="1"/>
            </w:tcBorders>
            <w:tcMar>
              <w:top w:type="dxa" w:w="60"/>
              <w:left w:type="dxa" w:w="100"/>
              <w:bottom w:type="dxa" w:w="60"/>
              <w:right w:type="dxa" w:w="100"/>
            </w:tcMar>
          </w:tcPr>
          <w:p>
            <w:pPr>
              <w:spacing w:after="0"/>
            </w:pPr>
            <w:r>
              <w:rPr>
                <w:rFonts w:ascii="Arial" w:cs="Arial" w:eastAsia="Arial" w:hAnsi="Arial"/>
                <w:sz w:val="20"/>
                <w:szCs w:val="20"/>
              </w:rPr>
              <w:t xml:space="preserve">https://deno.com/deploy/sandbox</w:t>
            </w:r>
          </w:p>
        </w:tc>
      </w:tr>
    </w:tbl>
    <w:p>
      <w:pPr>
        <w:spacing w:after="100"/>
      </w:pPr>
    </w:p>
    <w:p>
      <w:pPr>
        <w:pStyle w:val="Heading1"/>
        <w:spacing w:before="360" w:after="200"/>
      </w:pPr>
      <w:r>
        <w:rPr>
          <w:rFonts w:ascii="Arial" w:cs="Arial" w:eastAsia="Arial" w:hAnsi="Arial"/>
          <w:b/>
          <w:bCs/>
          <w:color w:val="1B3A5C"/>
          <w:sz w:val="32"/>
          <w:szCs w:val="32"/>
        </w:rPr>
        <w:t xml:space="preserve">13. Next Steps</w:t>
      </w:r>
    </w:p>
    <w:p>
      <w:pPr>
        <w:pStyle w:val="ListParagraph"/>
        <w:numPr>
          <w:ilvl w:val="0"/>
          <w:numId w:val="3"/>
        </w:numPr>
        <w:spacing w:after="80" w:line="280"/>
      </w:pPr>
      <w:r>
        <w:rPr>
          <w:rFonts w:ascii="Arial" w:cs="Arial" w:eastAsia="Arial" w:hAnsi="Arial"/>
          <w:b/>
          <w:bCs/>
          <w:sz w:val="21"/>
          <w:szCs w:val="21"/>
        </w:rPr>
        <w:t xml:space="preserve">Select implementation technology: </w:t>
      </w:r>
      <w:r>
        <w:rPr>
          <w:rFonts w:ascii="Arial" w:cs="Arial" w:eastAsia="Arial" w:hAnsi="Arial"/>
          <w:sz w:val="21"/>
          <w:szCs w:val="21"/>
        </w:rPr>
        <w:t xml:space="preserve">Decide between Envoy and custom Rust based on team expertise and performance requirements.</w:t>
      </w:r>
    </w:p>
    <w:p>
      <w:pPr>
        <w:pStyle w:val="ListParagraph"/>
        <w:numPr>
          <w:ilvl w:val="0"/>
          <w:numId w:val="3"/>
        </w:numPr>
        <w:spacing w:after="80" w:line="280"/>
      </w:pPr>
      <w:r>
        <w:rPr>
          <w:rFonts w:ascii="Arial" w:cs="Arial" w:eastAsia="Arial" w:hAnsi="Arial"/>
          <w:b/>
          <w:bCs/>
          <w:sz w:val="21"/>
          <w:szCs w:val="21"/>
        </w:rPr>
        <w:t xml:space="preserve">Produce Kubernetes manifests: </w:t>
      </w:r>
      <w:r>
        <w:rPr>
          <w:rFonts w:ascii="Arial" w:cs="Arial" w:eastAsia="Arial" w:hAnsi="Arial"/>
          <w:sz w:val="21"/>
          <w:szCs w:val="21"/>
        </w:rPr>
        <w:t xml:space="preserve">Deployment, sidecar injection, Secret mounts, and NetworkPolicy.</w:t>
      </w:r>
    </w:p>
    <w:p>
      <w:pPr>
        <w:pStyle w:val="ListParagraph"/>
        <w:numPr>
          <w:ilvl w:val="0"/>
          <w:numId w:val="3"/>
        </w:numPr>
        <w:spacing w:after="80" w:line="280"/>
      </w:pPr>
      <w:r>
        <w:rPr>
          <w:rFonts w:ascii="Arial" w:cs="Arial" w:eastAsia="Arial" w:hAnsi="Arial"/>
          <w:b/>
          <w:bCs/>
          <w:sz w:val="21"/>
          <w:szCs w:val="21"/>
        </w:rPr>
        <w:t xml:space="preserve">Build and test prototype: </w:t>
      </w:r>
      <w:r>
        <w:rPr>
          <w:rFonts w:ascii="Arial" w:cs="Arial" w:eastAsia="Arial" w:hAnsi="Arial"/>
          <w:sz w:val="21"/>
          <w:szCs w:val="21"/>
        </w:rPr>
        <w:t xml:space="preserve">Validate header rewrite, allowlist enforcement, and TLS origination against real API endpoints.</w:t>
      </w:r>
    </w:p>
    <w:p>
      <w:pPr>
        <w:pStyle w:val="ListParagraph"/>
        <w:numPr>
          <w:ilvl w:val="0"/>
          <w:numId w:val="3"/>
        </w:numPr>
        <w:spacing w:after="80" w:line="280"/>
      </w:pPr>
      <w:r>
        <w:rPr>
          <w:rFonts w:ascii="Arial" w:cs="Arial" w:eastAsia="Arial" w:hAnsi="Arial"/>
          <w:b/>
          <w:bCs/>
          <w:sz w:val="21"/>
          <w:szCs w:val="21"/>
        </w:rPr>
        <w:t xml:space="preserve">Integrate observability: </w:t>
      </w:r>
      <w:r>
        <w:rPr>
          <w:rFonts w:ascii="Arial" w:cs="Arial" w:eastAsia="Arial" w:hAnsi="Arial"/>
          <w:sz w:val="21"/>
          <w:szCs w:val="21"/>
        </w:rPr>
        <w:t xml:space="preserve">Metrics, structured logs, and alerting dashboards.</w:t>
      </w:r>
    </w:p>
    <w:p>
      <w:pPr>
        <w:pStyle w:val="ListParagraph"/>
        <w:numPr>
          <w:ilvl w:val="0"/>
          <w:numId w:val="3"/>
        </w:numPr>
        <w:spacing w:after="80" w:line="280"/>
      </w:pPr>
      <w:r>
        <w:rPr>
          <w:rFonts w:ascii="Arial" w:cs="Arial" w:eastAsia="Arial" w:hAnsi="Arial"/>
          <w:b/>
          <w:bCs/>
          <w:sz w:val="21"/>
          <w:szCs w:val="21"/>
        </w:rPr>
        <w:t xml:space="preserve">Security review: </w:t>
      </w:r>
      <w:r>
        <w:rPr>
          <w:rFonts w:ascii="Arial" w:cs="Arial" w:eastAsia="Arial" w:hAnsi="Arial"/>
          <w:sz w:val="21"/>
          <w:szCs w:val="21"/>
        </w:rPr>
        <w:t xml:space="preserve">Threat model review of the Pod-level trust boundary and node-level risks.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Sidecar Egress Proxy —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4B5"/>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2026-02-09T09:07:07.317Z</dcterms:created>
  <dcterms:modified xsi:type="dcterms:W3CDTF">2026-02-09T09:07:07.318Z</dcterms:modified>
</cp:coreProperties>
</file>

<file path=docProps/custom.xml><?xml version="1.0" encoding="utf-8"?>
<Properties xmlns="http://schemas.openxmlformats.org/officeDocument/2006/custom-properties" xmlns:vt="http://schemas.openxmlformats.org/officeDocument/2006/docPropsVTypes"/>
</file>