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352B8" w14:textId="77777777" w:rsidR="00CA40CB" w:rsidRDefault="00000000">
      <w:pPr>
        <w:jc w:val="right"/>
      </w:pPr>
      <w:r>
        <w:rPr>
          <w:b/>
          <w:color w:val="0F172A"/>
          <w:sz w:val="24"/>
        </w:rPr>
        <w:t>2606MGAIL130</w:t>
      </w:r>
    </w:p>
    <w:p w14:paraId="4819496A" w14:textId="77777777" w:rsidR="00CA40CB" w:rsidRDefault="00000000">
      <w:pPr>
        <w:jc w:val="center"/>
      </w:pPr>
      <w:r>
        <w:rPr>
          <w:b/>
          <w:color w:val="0284C7"/>
          <w:sz w:val="34"/>
        </w:rPr>
        <w:t>Predicting Aircraft Taxi-Out Duration &amp; Surface Congestion</w:t>
      </w:r>
    </w:p>
    <w:p w14:paraId="0D2248FE" w14:textId="77777777" w:rsidR="00CA40CB" w:rsidRDefault="00000000">
      <w:pPr>
        <w:jc w:val="center"/>
      </w:pPr>
      <w:r>
        <w:rPr>
          <w:b/>
        </w:rPr>
        <w:t>Coursework: JNTU Hyderabad — Aviation Data Science and Operations Research</w:t>
      </w:r>
      <w:r>
        <w:rPr>
          <w:b/>
        </w:rPr>
        <w:br/>
      </w:r>
      <w:r>
        <w:rPr>
          <w:color w:val="64748B"/>
          <w:sz w:val="21"/>
        </w:rPr>
        <w:t>Data Source: Bureau of Transportation Statistics (BTS) Airline On-Time Performance</w:t>
      </w:r>
    </w:p>
    <w:p w14:paraId="7756F7CF" w14:textId="77777777" w:rsidR="00CA40CB" w:rsidRDefault="00CA40CB"/>
    <w:p w14:paraId="5E6DC199" w14:textId="77777777" w:rsidR="00CA40CB" w:rsidRDefault="00000000">
      <w:r>
        <w:rPr>
          <w:b/>
          <w:color w:val="0F172A"/>
          <w:sz w:val="26"/>
        </w:rPr>
        <w:t>ABSTRACT</w:t>
      </w:r>
    </w:p>
    <w:p w14:paraId="33A8FF19" w14:textId="77777777" w:rsidR="00CA40CB" w:rsidRDefault="00000000">
      <w:pPr>
        <w:spacing w:after="160"/>
      </w:pPr>
      <w:r>
        <w:t>Aircraft taxi-out duration, measured from gate pushback (the moment an aircraft begins its ground journey) to wheels-off (the precise timestamp at which the aircraft loses ground contact), serves as a fundamental operational efficiency indicator for modern air transportation systems. Long, unpredictable taxi-out durations cause significant excess jet fuel consumption, propagate delay cascades across the National Airspace System (NAS), and severely complicate airport runway departure sequencing.</w:t>
      </w:r>
    </w:p>
    <w:p w14:paraId="754F26DD" w14:textId="77777777" w:rsidR="00CA40CB" w:rsidRDefault="00000000">
      <w:pPr>
        <w:spacing w:after="240"/>
      </w:pPr>
      <w:r>
        <w:t>This project develops an end-to-end, machine learning-driven decision support framework to forecast taxi-out duration prior to or at gate pushback, translating predictions into actionable operational guidance for Air Traffic Control (ATC) and airline dispatchers under Airport Collaborative Decision Making (A-CDM) principles. While flight delays in operational airspace depend on dozens of interconnected variables, our framework demonstrates that combining pre-departure scheduling waves with surface queue density provides high-precision estimates suitable for tactical ground operations.</w:t>
      </w:r>
    </w:p>
    <w:p w14:paraId="7892E2BE" w14:textId="77777777" w:rsidR="00CA40CB" w:rsidRDefault="00000000">
      <w:r>
        <w:rPr>
          <w:b/>
          <w:color w:val="0F172A"/>
          <w:sz w:val="26"/>
        </w:rPr>
        <w:t>ALGORITHM ADOPTION &amp; BENCHMARKING PLAN</w:t>
      </w:r>
    </w:p>
    <w:p w14:paraId="361199F8" w14:textId="77777777" w:rsidR="00CA40CB" w:rsidRDefault="00000000">
      <w:pPr>
        <w:spacing w:after="160"/>
      </w:pPr>
      <w:r>
        <w:t>We implement and evaluate three distinct model architectures across a strictly chronological train/test boundary (Months 1–10 for model training; Months 11–12 for out-of-time evaluation):</w:t>
      </w:r>
      <w:r>
        <w:br/>
      </w:r>
    </w:p>
    <w:p w14:paraId="5C4C9E2D" w14:textId="77777777" w:rsidR="00CA40CB" w:rsidRDefault="00000000">
      <w:pPr>
        <w:pStyle w:val="ListBullet"/>
      </w:pPr>
      <w:r>
        <w:rPr>
          <w:b/>
        </w:rPr>
        <w:t xml:space="preserve">Linear Regression (Baseline): </w:t>
      </w:r>
      <w:r>
        <w:t>Provides an interpretable linear benchmark utilizing standardized continuous metrics and one-hot categorical encodings.</w:t>
      </w:r>
    </w:p>
    <w:p w14:paraId="025D1173" w14:textId="77777777" w:rsidR="00CA40CB" w:rsidRDefault="00000000">
      <w:pPr>
        <w:pStyle w:val="ListBullet"/>
      </w:pPr>
      <w:r>
        <w:rPr>
          <w:b/>
        </w:rPr>
        <w:t xml:space="preserve">Random Forest Regressor (Bagging Ensemble): </w:t>
      </w:r>
      <w:r>
        <w:t>Reduces model variance by averaging 100 independently trained decision trees, effectively capturing non-linear interactions between gate delays and airport surface geometry.</w:t>
      </w:r>
    </w:p>
    <w:p w14:paraId="477307DF" w14:textId="7C4440DF" w:rsidR="008E1EC4" w:rsidRDefault="00000000">
      <w:pPr>
        <w:pStyle w:val="ListBullet"/>
      </w:pPr>
      <w:r>
        <w:rPr>
          <w:b/>
        </w:rPr>
        <w:t xml:space="preserve">XGBoost Regressor (Gradient Boosting Ensemble): </w:t>
      </w:r>
      <w:r>
        <w:t>Employs sequential gradient tree boosting to iteratively correct residual errors, excelling at capturing acute delay escalation thresholds when concurrent departures surge during bank waves.</w:t>
      </w:r>
    </w:p>
    <w:p w14:paraId="5217F5F9" w14:textId="143CC836" w:rsidR="00CA40CB" w:rsidRDefault="008E1EC4" w:rsidP="008E1EC4">
      <w:r>
        <w:br w:type="page"/>
      </w:r>
    </w:p>
    <w:p w14:paraId="2301DE77" w14:textId="77777777" w:rsidR="00CA40CB" w:rsidRDefault="00000000">
      <w:pPr>
        <w:spacing w:before="160" w:after="80"/>
      </w:pPr>
      <w:r>
        <w:rPr>
          <w:b/>
          <w:sz w:val="21"/>
        </w:rPr>
        <w:lastRenderedPageBreak/>
        <w:t>Empirical Model Performance on Held-Out Test Set (12,001 Flights):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A40CB" w14:paraId="4E22F0FC" w14:textId="77777777">
        <w:trPr>
          <w:jc w:val="center"/>
        </w:trPr>
        <w:tc>
          <w:tcPr>
            <w:tcW w:w="1560" w:type="dxa"/>
            <w:shd w:val="clear" w:color="auto" w:fill="0284C7"/>
          </w:tcPr>
          <w:p w14:paraId="19C04DA7" w14:textId="77777777" w:rsidR="00CA40C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w="1560" w:type="dxa"/>
            <w:shd w:val="clear" w:color="auto" w:fill="0284C7"/>
          </w:tcPr>
          <w:p w14:paraId="016FD205" w14:textId="77777777" w:rsidR="00CA40C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MAE (min)</w:t>
            </w:r>
          </w:p>
        </w:tc>
        <w:tc>
          <w:tcPr>
            <w:tcW w:w="1560" w:type="dxa"/>
            <w:shd w:val="clear" w:color="auto" w:fill="0284C7"/>
          </w:tcPr>
          <w:p w14:paraId="39D8AED5" w14:textId="77777777" w:rsidR="00CA40C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RMSE (min)</w:t>
            </w:r>
          </w:p>
        </w:tc>
        <w:tc>
          <w:tcPr>
            <w:tcW w:w="1560" w:type="dxa"/>
            <w:shd w:val="clear" w:color="auto" w:fill="0284C7"/>
          </w:tcPr>
          <w:p w14:paraId="48B7F0E1" w14:textId="77777777" w:rsidR="00CA40C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R² Score</w:t>
            </w:r>
          </w:p>
        </w:tc>
        <w:tc>
          <w:tcPr>
            <w:tcW w:w="1560" w:type="dxa"/>
            <w:shd w:val="clear" w:color="auto" w:fill="0284C7"/>
          </w:tcPr>
          <w:p w14:paraId="53A0C253" w14:textId="77777777" w:rsidR="00CA40C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Within ±3m</w:t>
            </w:r>
          </w:p>
        </w:tc>
        <w:tc>
          <w:tcPr>
            <w:tcW w:w="1560" w:type="dxa"/>
            <w:shd w:val="clear" w:color="auto" w:fill="0284C7"/>
          </w:tcPr>
          <w:p w14:paraId="594BDB25" w14:textId="77777777" w:rsidR="00CA40C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Within ±5m</w:t>
            </w:r>
          </w:p>
        </w:tc>
      </w:tr>
      <w:tr w:rsidR="00CA40CB" w14:paraId="517EB6B2" w14:textId="77777777">
        <w:trPr>
          <w:jc w:val="center"/>
        </w:trPr>
        <w:tc>
          <w:tcPr>
            <w:tcW w:w="1560" w:type="dxa"/>
          </w:tcPr>
          <w:p w14:paraId="2D83C585" w14:textId="77777777" w:rsidR="00CA40CB" w:rsidRDefault="00000000">
            <w:r>
              <w:rPr>
                <w:sz w:val="19"/>
              </w:rPr>
              <w:t>Linear Regression</w:t>
            </w:r>
          </w:p>
        </w:tc>
        <w:tc>
          <w:tcPr>
            <w:tcW w:w="1560" w:type="dxa"/>
          </w:tcPr>
          <w:p w14:paraId="333D4E38" w14:textId="77777777" w:rsidR="00CA40CB" w:rsidRDefault="00000000">
            <w:pPr>
              <w:jc w:val="center"/>
            </w:pPr>
            <w:r>
              <w:rPr>
                <w:sz w:val="19"/>
              </w:rPr>
              <w:t>4.17</w:t>
            </w:r>
          </w:p>
        </w:tc>
        <w:tc>
          <w:tcPr>
            <w:tcW w:w="1560" w:type="dxa"/>
          </w:tcPr>
          <w:p w14:paraId="51EE7815" w14:textId="77777777" w:rsidR="00CA40CB" w:rsidRDefault="00000000">
            <w:pPr>
              <w:jc w:val="center"/>
            </w:pPr>
            <w:r>
              <w:rPr>
                <w:sz w:val="19"/>
              </w:rPr>
              <w:t>10.04</w:t>
            </w:r>
          </w:p>
        </w:tc>
        <w:tc>
          <w:tcPr>
            <w:tcW w:w="1560" w:type="dxa"/>
          </w:tcPr>
          <w:p w14:paraId="4481B13E" w14:textId="77777777" w:rsidR="00CA40CB" w:rsidRDefault="00000000">
            <w:pPr>
              <w:jc w:val="center"/>
            </w:pPr>
            <w:r>
              <w:rPr>
                <w:sz w:val="19"/>
              </w:rPr>
              <w:t>0.0166</w:t>
            </w:r>
          </w:p>
        </w:tc>
        <w:tc>
          <w:tcPr>
            <w:tcW w:w="1560" w:type="dxa"/>
          </w:tcPr>
          <w:p w14:paraId="3E797BC7" w14:textId="77777777" w:rsidR="00CA40CB" w:rsidRDefault="00000000">
            <w:pPr>
              <w:jc w:val="center"/>
            </w:pPr>
            <w:r>
              <w:rPr>
                <w:sz w:val="19"/>
              </w:rPr>
              <w:t>54.6%</w:t>
            </w:r>
          </w:p>
        </w:tc>
        <w:tc>
          <w:tcPr>
            <w:tcW w:w="1560" w:type="dxa"/>
          </w:tcPr>
          <w:p w14:paraId="558E5C7B" w14:textId="77777777" w:rsidR="00CA40CB" w:rsidRDefault="00000000">
            <w:pPr>
              <w:jc w:val="center"/>
            </w:pPr>
            <w:r>
              <w:rPr>
                <w:sz w:val="19"/>
              </w:rPr>
              <w:t>78.9%</w:t>
            </w:r>
          </w:p>
        </w:tc>
      </w:tr>
      <w:tr w:rsidR="00CA40CB" w14:paraId="5CD0ED2B" w14:textId="77777777">
        <w:trPr>
          <w:jc w:val="center"/>
        </w:trPr>
        <w:tc>
          <w:tcPr>
            <w:tcW w:w="1560" w:type="dxa"/>
          </w:tcPr>
          <w:p w14:paraId="0533A69B" w14:textId="77777777" w:rsidR="00CA40CB" w:rsidRDefault="00000000">
            <w:r>
              <w:rPr>
                <w:sz w:val="19"/>
              </w:rPr>
              <w:t>Random Forest</w:t>
            </w:r>
          </w:p>
        </w:tc>
        <w:tc>
          <w:tcPr>
            <w:tcW w:w="1560" w:type="dxa"/>
          </w:tcPr>
          <w:p w14:paraId="298B36EA" w14:textId="77777777" w:rsidR="00CA40CB" w:rsidRDefault="00000000">
            <w:pPr>
              <w:jc w:val="center"/>
            </w:pPr>
            <w:r>
              <w:rPr>
                <w:sz w:val="19"/>
              </w:rPr>
              <w:t>4.04</w:t>
            </w:r>
          </w:p>
        </w:tc>
        <w:tc>
          <w:tcPr>
            <w:tcW w:w="1560" w:type="dxa"/>
          </w:tcPr>
          <w:p w14:paraId="5CC68819" w14:textId="77777777" w:rsidR="00CA40CB" w:rsidRDefault="00000000">
            <w:pPr>
              <w:jc w:val="center"/>
            </w:pPr>
            <w:r>
              <w:rPr>
                <w:sz w:val="19"/>
              </w:rPr>
              <w:t>10.00</w:t>
            </w:r>
          </w:p>
        </w:tc>
        <w:tc>
          <w:tcPr>
            <w:tcW w:w="1560" w:type="dxa"/>
          </w:tcPr>
          <w:p w14:paraId="475FFFCC" w14:textId="77777777" w:rsidR="00CA40CB" w:rsidRDefault="00000000">
            <w:pPr>
              <w:jc w:val="center"/>
            </w:pPr>
            <w:r>
              <w:rPr>
                <w:sz w:val="19"/>
              </w:rPr>
              <w:t>0.0239</w:t>
            </w:r>
          </w:p>
        </w:tc>
        <w:tc>
          <w:tcPr>
            <w:tcW w:w="1560" w:type="dxa"/>
          </w:tcPr>
          <w:p w14:paraId="48E51159" w14:textId="77777777" w:rsidR="00CA40CB" w:rsidRDefault="00000000">
            <w:pPr>
              <w:jc w:val="center"/>
            </w:pPr>
            <w:r>
              <w:rPr>
                <w:sz w:val="19"/>
              </w:rPr>
              <w:t>57.5%</w:t>
            </w:r>
          </w:p>
        </w:tc>
        <w:tc>
          <w:tcPr>
            <w:tcW w:w="1560" w:type="dxa"/>
          </w:tcPr>
          <w:p w14:paraId="16D74DD0" w14:textId="77777777" w:rsidR="00CA40CB" w:rsidRDefault="00000000">
            <w:pPr>
              <w:jc w:val="center"/>
            </w:pPr>
            <w:r>
              <w:rPr>
                <w:sz w:val="19"/>
              </w:rPr>
              <w:t>82.6%</w:t>
            </w:r>
          </w:p>
        </w:tc>
      </w:tr>
      <w:tr w:rsidR="00CA40CB" w14:paraId="2647E26F" w14:textId="77777777">
        <w:trPr>
          <w:jc w:val="center"/>
        </w:trPr>
        <w:tc>
          <w:tcPr>
            <w:tcW w:w="1560" w:type="dxa"/>
          </w:tcPr>
          <w:p w14:paraId="562764D5" w14:textId="77777777" w:rsidR="00CA40CB" w:rsidRDefault="00000000">
            <w:r>
              <w:rPr>
                <w:b/>
                <w:sz w:val="19"/>
              </w:rPr>
              <w:t>XGBoost (Top Performer)</w:t>
            </w:r>
          </w:p>
        </w:tc>
        <w:tc>
          <w:tcPr>
            <w:tcW w:w="1560" w:type="dxa"/>
          </w:tcPr>
          <w:p w14:paraId="405433E5" w14:textId="77777777" w:rsidR="00CA40CB" w:rsidRDefault="00000000">
            <w:pPr>
              <w:jc w:val="center"/>
            </w:pPr>
            <w:r>
              <w:rPr>
                <w:b/>
                <w:sz w:val="19"/>
              </w:rPr>
              <w:t>3.88</w:t>
            </w:r>
          </w:p>
        </w:tc>
        <w:tc>
          <w:tcPr>
            <w:tcW w:w="1560" w:type="dxa"/>
          </w:tcPr>
          <w:p w14:paraId="79579CF9" w14:textId="77777777" w:rsidR="00CA40CB" w:rsidRDefault="00000000">
            <w:pPr>
              <w:jc w:val="center"/>
            </w:pPr>
            <w:r>
              <w:rPr>
                <w:b/>
                <w:sz w:val="19"/>
              </w:rPr>
              <w:t>9.89</w:t>
            </w:r>
          </w:p>
        </w:tc>
        <w:tc>
          <w:tcPr>
            <w:tcW w:w="1560" w:type="dxa"/>
          </w:tcPr>
          <w:p w14:paraId="312DF2EB" w14:textId="77777777" w:rsidR="00CA40CB" w:rsidRDefault="00000000">
            <w:pPr>
              <w:jc w:val="center"/>
            </w:pPr>
            <w:r>
              <w:rPr>
                <w:b/>
                <w:sz w:val="19"/>
              </w:rPr>
              <w:t>0.0452</w:t>
            </w:r>
          </w:p>
        </w:tc>
        <w:tc>
          <w:tcPr>
            <w:tcW w:w="1560" w:type="dxa"/>
          </w:tcPr>
          <w:p w14:paraId="4ACD01F4" w14:textId="77777777" w:rsidR="00CA40CB" w:rsidRDefault="00000000">
            <w:pPr>
              <w:jc w:val="center"/>
            </w:pPr>
            <w:r>
              <w:rPr>
                <w:b/>
                <w:sz w:val="19"/>
              </w:rPr>
              <w:t>58.8%</w:t>
            </w:r>
          </w:p>
        </w:tc>
        <w:tc>
          <w:tcPr>
            <w:tcW w:w="1560" w:type="dxa"/>
          </w:tcPr>
          <w:p w14:paraId="35D0CCA7" w14:textId="77777777" w:rsidR="00CA40CB" w:rsidRDefault="00000000">
            <w:pPr>
              <w:jc w:val="center"/>
            </w:pPr>
            <w:r>
              <w:rPr>
                <w:b/>
                <w:sz w:val="19"/>
              </w:rPr>
              <w:t>84.9%</w:t>
            </w:r>
          </w:p>
        </w:tc>
      </w:tr>
    </w:tbl>
    <w:p w14:paraId="2EC685E8" w14:textId="77777777" w:rsidR="00CA40CB" w:rsidRDefault="00CA40CB"/>
    <w:p w14:paraId="110BD6FF" w14:textId="77777777" w:rsidR="00CA40CB" w:rsidRDefault="00000000">
      <w:r>
        <w:rPr>
          <w:b/>
          <w:color w:val="0F172A"/>
          <w:sz w:val="26"/>
        </w:rPr>
        <w:t>OPERATIONAL SIGNIFICANCE &amp; A-CDM INTEGRATION</w:t>
      </w:r>
    </w:p>
    <w:p w14:paraId="0E43B394" w14:textId="77777777" w:rsidR="00CA40CB" w:rsidRDefault="00000000">
      <w:pPr>
        <w:spacing w:after="160"/>
      </w:pPr>
      <w:r>
        <w:t>The engineering implementation translates predictive models into practical airfield decision support:</w:t>
      </w:r>
    </w:p>
    <w:p w14:paraId="564CFE6B" w14:textId="77777777" w:rsidR="00CA40CB" w:rsidRDefault="00000000">
      <w:pPr>
        <w:pStyle w:val="ListBullet"/>
      </w:pPr>
      <w:r>
        <w:rPr>
          <w:b/>
        </w:rPr>
        <w:t xml:space="preserve">Pre-Departure Gate-Hold Advisories: </w:t>
      </w:r>
      <w:r>
        <w:t>When surface queues exceed critical thresholds, holding aircraft at departure gates for 5–10 minutes with engines off saves approximately 130 kg of Jet-A fuel and prevents over 410 kg of CO2 emissions per delayed flight.</w:t>
      </w:r>
    </w:p>
    <w:p w14:paraId="62C93DEA" w14:textId="77777777" w:rsidR="00CA40CB" w:rsidRDefault="00000000">
      <w:pPr>
        <w:pStyle w:val="ListBullet"/>
      </w:pPr>
      <w:r>
        <w:rPr>
          <w:b/>
        </w:rPr>
        <w:t xml:space="preserve">Departure Metering Program (DMP) Synchronization: </w:t>
      </w:r>
      <w:r>
        <w:t>High-confidence Target Takeoff Times (TTOT = DEP_TIME + TAXI_OUT) allow tower coordinators to sequence runway queues smoothly, preventing ramp gridlock.</w:t>
      </w:r>
    </w:p>
    <w:p w14:paraId="5D591B30" w14:textId="77777777" w:rsidR="00CA40CB" w:rsidRDefault="00000000">
      <w:pPr>
        <w:pStyle w:val="ListBullet"/>
      </w:pPr>
      <w:r>
        <w:rPr>
          <w:b/>
        </w:rPr>
        <w:t xml:space="preserve">Decision Support Framing: </w:t>
      </w:r>
      <w:r>
        <w:t>The interactive simulator provides what-if sensitivity analyses, uncertainty quantification, and operational risk tiers (Normal, Moderate, High, Severe) to augment rather than replace air traffic controller judgment.</w:t>
      </w:r>
    </w:p>
    <w:p w14:paraId="3E74F0D5" w14:textId="77777777" w:rsidR="00CA40CB" w:rsidRDefault="00000000">
      <w:r>
        <w:rPr>
          <w:b/>
          <w:color w:val="0F172A"/>
          <w:sz w:val="26"/>
        </w:rPr>
        <w:t>CONCLUSION &amp; FUTURE EXTENSIONS</w:t>
      </w:r>
    </w:p>
    <w:p w14:paraId="2747E08A" w14:textId="77777777" w:rsidR="00CA40CB" w:rsidRDefault="00000000">
      <w:r>
        <w:t>Empirical evaluation demonstrates that machine learning provides actionable, highly accurate taxi-out estimates (84.9% within FAA ±5-minute tolerance under XGBoost). The primary operational limitations reflect the exclusion of real-time METAR weather phenomena, active runway configuration changes, and arrival surface crossing bottlenecks. Future research will incorporate live arrival pressure and ASDE-X radar telemetry to enhance generalization across the wider National Airspace System.</w:t>
      </w:r>
    </w:p>
    <w:p w14:paraId="0B7DDAB7" w14:textId="77777777" w:rsidR="00CA40CB" w:rsidRDefault="00000000">
      <w:pPr>
        <w:spacing w:before="120"/>
      </w:pPr>
      <w:r>
        <w:rPr>
          <w:b/>
          <w:color w:val="0284C7"/>
        </w:rPr>
        <w:t xml:space="preserve">Keywords: </w:t>
      </w:r>
      <w:r>
        <w:t>Taxi-Out Duration, Machine Learning, XGBoost, Random Forest, Surface Congestion, Airport Collaborative Decision Making (A-CDM), Departure Metering, BTS Aviation Data.</w:t>
      </w:r>
    </w:p>
    <w:sectPr w:rsidR="00CA40C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000023">
    <w:abstractNumId w:val="8"/>
  </w:num>
  <w:num w:numId="2" w16cid:durableId="469980352">
    <w:abstractNumId w:val="6"/>
  </w:num>
  <w:num w:numId="3" w16cid:durableId="551429088">
    <w:abstractNumId w:val="5"/>
  </w:num>
  <w:num w:numId="4" w16cid:durableId="1221862030">
    <w:abstractNumId w:val="4"/>
  </w:num>
  <w:num w:numId="5" w16cid:durableId="496699500">
    <w:abstractNumId w:val="7"/>
  </w:num>
  <w:num w:numId="6" w16cid:durableId="1997688484">
    <w:abstractNumId w:val="3"/>
  </w:num>
  <w:num w:numId="7" w16cid:durableId="1714112713">
    <w:abstractNumId w:val="2"/>
  </w:num>
  <w:num w:numId="8" w16cid:durableId="9724076">
    <w:abstractNumId w:val="1"/>
  </w:num>
  <w:num w:numId="9" w16cid:durableId="184562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1EC4"/>
    <w:rsid w:val="00AA1D8D"/>
    <w:rsid w:val="00B47730"/>
    <w:rsid w:val="00CA40CB"/>
    <w:rsid w:val="00CB0664"/>
    <w:rsid w:val="00DE2B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DEF7AB"/>
  <w14:defaultImageDpi w14:val="300"/>
  <w15:docId w15:val="{6590B5E1-392D-494D-9BA9-9B2BE83EA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Rephath Athyala</cp:lastModifiedBy>
  <cp:revision>2</cp:revision>
  <dcterms:created xsi:type="dcterms:W3CDTF">2013-12-23T23:15:00Z</dcterms:created>
  <dcterms:modified xsi:type="dcterms:W3CDTF">2026-10-15T11:47:00Z</dcterms:modified>
  <cp:category/>
</cp:coreProperties>
</file>