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A5647"/>
          <w:sz w:val="80"/>
        </w:rPr>
        <w:t>SIGTM</w:t>
      </w:r>
    </w:p>
    <w:p>
      <w:pPr>
        <w:jc w:val="center"/>
      </w:pPr>
      <w:r>
        <w:rPr>
          <w:rFonts w:ascii="Calibri" w:hAnsi="Calibri"/>
          <w:color w:val="374151"/>
          <w:sz w:val="28"/>
        </w:rPr>
        <w:t>Sistema Integral de Gestión para Talleres de Motocicletas</w:t>
        <w:br/>
        <w:t>«Moto Nexus»</w:t>
      </w:r>
    </w:p>
    <w:p/>
    <w:p>
      <w:pPr>
        <w:jc w:val="center"/>
      </w:pPr>
      <w:r>
        <w:rPr>
          <w:rFonts w:ascii="Calibri" w:hAnsi="Calibri"/>
          <w:b/>
          <w:color w:val="111827"/>
          <w:sz w:val="42"/>
        </w:rPr>
        <w:t>MANUAL TÉCNICO</w:t>
        <w:br/>
        <w:t>Y DE OPERACIÓN</w:t>
      </w:r>
    </w:p>
    <w:p>
      <w:pPr>
        <w:jc w:val="center"/>
      </w:pPr>
      <w:r>
        <w:rPr>
          <w:rFonts w:ascii="Calibri" w:hAnsi="Calibri"/>
          <w:color w:val="6B7280"/>
          <w:sz w:val="22"/>
        </w:rPr>
        <w:t>ADSO-ADSO-MAN-01</w:t>
      </w:r>
    </w:p>
    <w:p/>
    <w:p/>
    <w:p/>
    <w:p/>
    <w:p/>
    <w:tbl>
      <w:tblPr>
        <w:tblStyle w:val="TableGrid"/>
        <w:tblW w:type="auto" w:w="0"/>
        <w:jc w:val="center"/>
        <w:tblLook w:firstColumn="1" w:firstRow="1" w:lastColumn="0" w:lastRow="0" w:noHBand="0" w:noVBand="1" w:val="04A0"/>
      </w:tblPr>
      <w:tblGrid>
        <w:gridCol w:w="4873"/>
        <w:gridCol w:w="4873"/>
      </w:tblGrid>
      <w:tr>
        <w:tc>
          <w:tcPr>
            <w:tcW w:type="dxa" w:w="2494"/>
            <w:shd w:val="clear" w:fill="0B6B57"/>
          </w:tcPr>
          <w:p>
            <w:pPr>
              <w:spacing w:after="40"/>
            </w:pPr>
            <w:r>
              <w:rPr>
                <w:rFonts w:ascii="Calibri" w:hAnsi="Calibri"/>
                <w:b/>
                <w:color w:val="FFFFFF"/>
                <w:sz w:val="19"/>
              </w:rPr>
              <w:t>Campo</w:t>
            </w:r>
          </w:p>
        </w:tc>
        <w:tc>
          <w:tcPr>
            <w:tcW w:type="dxa" w:w="6690"/>
            <w:shd w:val="clear" w:fill="0B6B57"/>
          </w:tcPr>
          <w:p>
            <w:pPr>
              <w:spacing w:after="40"/>
            </w:pPr>
            <w:r>
              <w:rPr>
                <w:rFonts w:ascii="Calibri" w:hAnsi="Calibri"/>
                <w:b/>
                <w:color w:val="FFFFFF"/>
                <w:sz w:val="19"/>
              </w:rPr>
              <w:t>Información</w:t>
            </w:r>
          </w:p>
        </w:tc>
      </w:tr>
      <w:tr>
        <w:tc>
          <w:tcPr>
            <w:tcW w:type="dxa" w:w="2494"/>
          </w:tcPr>
          <w:p>
            <w:pPr>
              <w:spacing w:after="40"/>
            </w:pPr>
            <w:r>
              <w:rPr>
                <w:rFonts w:ascii="Calibri" w:hAnsi="Calibri"/>
                <w:color w:val="111827"/>
                <w:sz w:val="19"/>
              </w:rPr>
              <w:t>Proyecto</w:t>
            </w:r>
          </w:p>
        </w:tc>
        <w:tc>
          <w:tcPr>
            <w:tcW w:type="dxa" w:w="6690"/>
          </w:tcPr>
          <w:p>
            <w:pPr>
              <w:spacing w:after="40"/>
            </w:pPr>
            <w:r>
              <w:rPr>
                <w:rFonts w:ascii="Calibri" w:hAnsi="Calibri"/>
                <w:color w:val="111827"/>
                <w:sz w:val="19"/>
              </w:rPr>
              <w:t>SIGTM – Sistema Integral de Gestión para Talleres de Motocicletas («Moto Nexus»)</w:t>
            </w:r>
          </w:p>
        </w:tc>
      </w:tr>
      <w:tr>
        <w:tc>
          <w:tcPr>
            <w:tcW w:type="dxa" w:w="2494"/>
          </w:tcPr>
          <w:p>
            <w:pPr>
              <w:spacing w:after="40"/>
            </w:pPr>
            <w:r>
              <w:rPr>
                <w:rFonts w:ascii="Calibri" w:hAnsi="Calibri"/>
                <w:color w:val="111827"/>
                <w:sz w:val="19"/>
              </w:rPr>
              <w:t>Documento</w:t>
            </w:r>
          </w:p>
        </w:tc>
        <w:tc>
          <w:tcPr>
            <w:tcW w:type="dxa" w:w="6690"/>
          </w:tcPr>
          <w:p>
            <w:pPr>
              <w:spacing w:after="40"/>
            </w:pPr>
            <w:r>
              <w:rPr>
                <w:rFonts w:ascii="Calibri" w:hAnsi="Calibri"/>
                <w:color w:val="111827"/>
                <w:sz w:val="19"/>
              </w:rPr>
              <w:t>Manual Técnico y de Operación (ADSO-ADSO-MAN-01)</w:t>
            </w:r>
          </w:p>
        </w:tc>
      </w:tr>
      <w:tr>
        <w:tc>
          <w:tcPr>
            <w:tcW w:type="dxa" w:w="2494"/>
          </w:tcPr>
          <w:p>
            <w:pPr>
              <w:spacing w:after="40"/>
            </w:pPr>
            <w:r>
              <w:rPr>
                <w:rFonts w:ascii="Calibri" w:hAnsi="Calibri"/>
                <w:color w:val="111827"/>
                <w:sz w:val="19"/>
              </w:rPr>
              <w:t>Versión</w:t>
            </w:r>
          </w:p>
        </w:tc>
        <w:tc>
          <w:tcPr>
            <w:tcW w:type="dxa" w:w="6690"/>
          </w:tcPr>
          <w:p>
            <w:pPr>
              <w:spacing w:after="40"/>
            </w:pPr>
            <w:r>
              <w:rPr>
                <w:rFonts w:ascii="Calibri" w:hAnsi="Calibri"/>
                <w:color w:val="111827"/>
                <w:sz w:val="19"/>
              </w:rPr>
              <w:t>1.5</w:t>
            </w:r>
          </w:p>
        </w:tc>
      </w:tr>
      <w:tr>
        <w:tc>
          <w:tcPr>
            <w:tcW w:type="dxa" w:w="2494"/>
          </w:tcPr>
          <w:p>
            <w:pPr>
              <w:spacing w:after="40"/>
            </w:pPr>
            <w:r>
              <w:rPr>
                <w:rFonts w:ascii="Calibri" w:hAnsi="Calibri"/>
                <w:color w:val="111827"/>
                <w:sz w:val="19"/>
              </w:rPr>
              <w:t>Fecha</w:t>
            </w:r>
          </w:p>
        </w:tc>
        <w:tc>
          <w:tcPr>
            <w:tcW w:type="dxa" w:w="6690"/>
          </w:tcPr>
          <w:p>
            <w:pPr>
              <w:spacing w:after="40"/>
            </w:pPr>
            <w:r>
              <w:rPr>
                <w:rFonts w:ascii="Calibri" w:hAnsi="Calibri"/>
                <w:color w:val="111827"/>
                <w:sz w:val="19"/>
              </w:rPr>
              <w:t>11 de septiembre de 2026</w:t>
            </w:r>
          </w:p>
        </w:tc>
      </w:tr>
      <w:tr>
        <w:tc>
          <w:tcPr>
            <w:tcW w:type="dxa" w:w="2494"/>
          </w:tcPr>
          <w:p>
            <w:pPr>
              <w:spacing w:after="40"/>
            </w:pPr>
            <w:r>
              <w:rPr>
                <w:rFonts w:ascii="Calibri" w:hAnsi="Calibri"/>
                <w:color w:val="111827"/>
                <w:sz w:val="19"/>
              </w:rPr>
              <w:t>Programa</w:t>
            </w:r>
          </w:p>
        </w:tc>
        <w:tc>
          <w:tcPr>
            <w:tcW w:type="dxa" w:w="6690"/>
          </w:tcPr>
          <w:p>
            <w:pPr>
              <w:spacing w:after="40"/>
            </w:pPr>
            <w:r>
              <w:rPr>
                <w:rFonts w:ascii="Calibri" w:hAnsi="Calibri"/>
                <w:color w:val="111827"/>
                <w:sz w:val="19"/>
              </w:rPr>
              <w:t>Tecnología en Análisis y Desarrollo de Software – ADSO</w:t>
            </w:r>
          </w:p>
        </w:tc>
      </w:tr>
      <w:tr>
        <w:tc>
          <w:tcPr>
            <w:tcW w:type="dxa" w:w="2494"/>
          </w:tcPr>
          <w:p>
            <w:pPr>
              <w:spacing w:after="40"/>
            </w:pPr>
            <w:r>
              <w:rPr>
                <w:rFonts w:ascii="Calibri" w:hAnsi="Calibri"/>
                <w:color w:val="111827"/>
                <w:sz w:val="19"/>
              </w:rPr>
              <w:t>Ficha</w:t>
            </w:r>
          </w:p>
        </w:tc>
        <w:tc>
          <w:tcPr>
            <w:tcW w:type="dxa" w:w="6690"/>
          </w:tcPr>
          <w:p>
            <w:pPr>
              <w:spacing w:after="40"/>
            </w:pPr>
            <w:r>
              <w:rPr>
                <w:rFonts w:ascii="Calibri" w:hAnsi="Calibri"/>
                <w:color w:val="111827"/>
                <w:sz w:val="19"/>
              </w:rPr>
              <w:t>3114227</w:t>
            </w:r>
          </w:p>
        </w:tc>
      </w:tr>
      <w:tr>
        <w:tc>
          <w:tcPr>
            <w:tcW w:type="dxa" w:w="2494"/>
          </w:tcPr>
          <w:p>
            <w:pPr>
              <w:spacing w:after="40"/>
            </w:pPr>
            <w:r>
              <w:rPr>
                <w:rFonts w:ascii="Calibri" w:hAnsi="Calibri"/>
                <w:color w:val="111827"/>
                <w:sz w:val="19"/>
              </w:rPr>
              <w:t>Instructor</w:t>
            </w:r>
          </w:p>
        </w:tc>
        <w:tc>
          <w:tcPr>
            <w:tcW w:type="dxa" w:w="6690"/>
          </w:tcPr>
          <w:p>
            <w:pPr>
              <w:spacing w:after="40"/>
            </w:pPr>
            <w:r>
              <w:rPr>
                <w:rFonts w:ascii="Calibri" w:hAnsi="Calibri"/>
                <w:color w:val="111827"/>
                <w:sz w:val="19"/>
              </w:rPr>
              <w:t>Juan Carlos Quintero Romero</w:t>
            </w:r>
          </w:p>
        </w:tc>
      </w:tr>
      <w:tr>
        <w:tc>
          <w:tcPr>
            <w:tcW w:type="dxa" w:w="2494"/>
          </w:tcPr>
          <w:p>
            <w:pPr>
              <w:spacing w:after="40"/>
            </w:pPr>
            <w:r>
              <w:rPr>
                <w:rFonts w:ascii="Calibri" w:hAnsi="Calibri"/>
                <w:color w:val="111827"/>
                <w:sz w:val="19"/>
              </w:rPr>
              <w:t>Autores</w:t>
            </w:r>
          </w:p>
        </w:tc>
        <w:tc>
          <w:tcPr>
            <w:tcW w:type="dxa" w:w="6690"/>
          </w:tcPr>
          <w:p>
            <w:pPr>
              <w:spacing w:after="40"/>
            </w:pPr>
            <w:r>
              <w:rPr>
                <w:rFonts w:ascii="Calibri" w:hAnsi="Calibri"/>
                <w:color w:val="111827"/>
                <w:sz w:val="19"/>
              </w:rPr>
              <w:t>Harryson [apellidos por completar] (líder y backend); Jessica [apellidos por completar] (frontend); Dayana [apellidos por completar] (frontend y UX)</w:t>
            </w:r>
          </w:p>
        </w:tc>
      </w:tr>
      <w:tr>
        <w:tc>
          <w:tcPr>
            <w:tcW w:type="dxa" w:w="2494"/>
          </w:tcPr>
          <w:p>
            <w:pPr>
              <w:spacing w:after="40"/>
            </w:pPr>
            <w:r>
              <w:rPr>
                <w:rFonts w:ascii="Calibri" w:hAnsi="Calibri"/>
                <w:color w:val="111827"/>
                <w:sz w:val="19"/>
              </w:rPr>
              <w:t>Dirigido a</w:t>
            </w:r>
          </w:p>
        </w:tc>
        <w:tc>
          <w:tcPr>
            <w:tcW w:type="dxa" w:w="6690"/>
          </w:tcPr>
          <w:p>
            <w:pPr>
              <w:spacing w:after="40"/>
            </w:pPr>
            <w:r>
              <w:rPr>
                <w:rFonts w:ascii="Calibri" w:hAnsi="Calibri"/>
                <w:color w:val="111827"/>
                <w:sz w:val="19"/>
              </w:rPr>
              <w:t>Quien deba instalar, ejecutar, verificar o mantener el sistema</w:t>
            </w:r>
          </w:p>
        </w:tc>
      </w:tr>
      <w:tr>
        <w:tc>
          <w:tcPr>
            <w:tcW w:type="dxa" w:w="2494"/>
          </w:tcPr>
          <w:p>
            <w:pPr>
              <w:spacing w:after="40"/>
            </w:pPr>
            <w:r>
              <w:rPr>
                <w:rFonts w:ascii="Calibri" w:hAnsi="Calibri"/>
                <w:color w:val="111827"/>
                <w:sz w:val="19"/>
              </w:rPr>
              <w:t>Repositorio</w:t>
            </w:r>
          </w:p>
        </w:tc>
        <w:tc>
          <w:tcPr>
            <w:tcW w:type="dxa" w:w="6690"/>
          </w:tcPr>
          <w:p>
            <w:pPr>
              <w:spacing w:after="40"/>
            </w:pPr>
            <w:r>
              <w:rPr>
                <w:rFonts w:ascii="Calibri" w:hAnsi="Calibri"/>
                <w:color w:val="111827"/>
                <w:sz w:val="19"/>
              </w:rPr>
              <w:t>https://github.com/repelindayeha-star/SGITM</w:t>
            </w:r>
          </w:p>
        </w:tc>
      </w:tr>
    </w:tbl>
    <w:p>
      <w:pPr>
        <w:spacing w:after="40"/>
      </w:pPr>
    </w:p>
    <w:p>
      <w:r>
        <w:br w:type="page"/>
      </w:r>
    </w:p>
    <w:p>
      <w:pPr>
        <w:spacing w:before="360" w:after="160"/>
        <w:pBdr>
          <w:bottom w:val="single" w:sz="6" w:color="0B6B57"/>
        </w:pBdr>
      </w:pPr>
      <w:r>
        <w:rPr>
          <w:rFonts w:ascii="Calibri" w:hAnsi="Calibri"/>
          <w:b/>
          <w:color w:val="0A5647"/>
          <w:sz w:val="30"/>
        </w:rPr>
        <w:t>1. Control del documento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020"/>
            <w:shd w:val="clear" w:fill="0B6B57"/>
          </w:tcPr>
          <w:p>
            <w:pPr>
              <w:spacing w:after="40"/>
            </w:pPr>
            <w:r>
              <w:rPr>
                <w:rFonts w:ascii="Calibri" w:hAnsi="Calibri"/>
                <w:b/>
                <w:color w:val="FFFFFF"/>
                <w:sz w:val="19"/>
              </w:rPr>
              <w:t>Versión</w:t>
            </w:r>
          </w:p>
        </w:tc>
        <w:tc>
          <w:tcPr>
            <w:tcW w:type="dxa" w:w="1247"/>
            <w:shd w:val="clear" w:fill="0B6B57"/>
          </w:tcPr>
          <w:p>
            <w:pPr>
              <w:spacing w:after="40"/>
            </w:pPr>
            <w:r>
              <w:rPr>
                <w:rFonts w:ascii="Calibri" w:hAnsi="Calibri"/>
                <w:b/>
                <w:color w:val="FFFFFF"/>
                <w:sz w:val="19"/>
              </w:rPr>
              <w:t>Fecha</w:t>
            </w:r>
          </w:p>
        </w:tc>
        <w:tc>
          <w:tcPr>
            <w:tcW w:type="dxa" w:w="4082"/>
            <w:shd w:val="clear" w:fill="0B6B57"/>
          </w:tcPr>
          <w:p>
            <w:pPr>
              <w:spacing w:after="40"/>
            </w:pPr>
            <w:r>
              <w:rPr>
                <w:rFonts w:ascii="Calibri" w:hAnsi="Calibri"/>
                <w:b/>
                <w:color w:val="FFFFFF"/>
                <w:sz w:val="19"/>
              </w:rPr>
              <w:t>Descripción</w:t>
            </w:r>
          </w:p>
        </w:tc>
        <w:tc>
          <w:tcPr>
            <w:tcW w:type="dxa" w:w="1531"/>
            <w:shd w:val="clear" w:fill="0B6B57"/>
          </w:tcPr>
          <w:p>
            <w:pPr>
              <w:spacing w:after="40"/>
            </w:pPr>
            <w:r>
              <w:rPr>
                <w:rFonts w:ascii="Calibri" w:hAnsi="Calibri"/>
                <w:b/>
                <w:color w:val="FFFFFF"/>
                <w:sz w:val="19"/>
              </w:rPr>
              <w:t>Responsable</w:t>
            </w:r>
          </w:p>
        </w:tc>
        <w:tc>
          <w:tcPr>
            <w:tcW w:type="dxa" w:w="1304"/>
            <w:shd w:val="clear" w:fill="0B6B57"/>
          </w:tcPr>
          <w:p>
            <w:pPr>
              <w:spacing w:after="40"/>
            </w:pPr>
            <w:r>
              <w:rPr>
                <w:rFonts w:ascii="Calibri" w:hAnsi="Calibri"/>
                <w:b/>
                <w:color w:val="FFFFFF"/>
                <w:sz w:val="19"/>
              </w:rPr>
              <w:t>Aprobado por</w:t>
            </w:r>
          </w:p>
        </w:tc>
      </w:tr>
      <w:tr>
        <w:tc>
          <w:tcPr>
            <w:tcW w:type="dxa" w:w="1020"/>
          </w:tcPr>
          <w:p>
            <w:pPr>
              <w:spacing w:after="40"/>
            </w:pPr>
            <w:r>
              <w:rPr>
                <w:rFonts w:ascii="Calibri" w:hAnsi="Calibri"/>
                <w:color w:val="111827"/>
                <w:sz w:val="19"/>
              </w:rPr>
              <w:t>0.1</w:t>
            </w:r>
          </w:p>
        </w:tc>
        <w:tc>
          <w:tcPr>
            <w:tcW w:type="dxa" w:w="1247"/>
          </w:tcPr>
          <w:p>
            <w:pPr>
              <w:spacing w:after="40"/>
            </w:pPr>
            <w:r>
              <w:rPr>
                <w:rFonts w:ascii="Calibri" w:hAnsi="Calibri"/>
                <w:color w:val="111827"/>
                <w:sz w:val="19"/>
              </w:rPr>
              <w:t>19/08/2026</w:t>
            </w:r>
          </w:p>
        </w:tc>
        <w:tc>
          <w:tcPr>
            <w:tcW w:type="dxa" w:w="4082"/>
          </w:tcPr>
          <w:p>
            <w:pPr>
              <w:spacing w:after="40"/>
            </w:pPr>
            <w:r>
              <w:rPr>
                <w:rFonts w:ascii="Calibri" w:hAnsi="Calibri"/>
                <w:color w:val="111827"/>
                <w:sz w:val="19"/>
              </w:rPr>
              <w:t>Creación inicial a partir de la plantilla institucional.</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1.0</w:t>
            </w:r>
          </w:p>
        </w:tc>
        <w:tc>
          <w:tcPr>
            <w:tcW w:type="dxa" w:w="1247"/>
          </w:tcPr>
          <w:p>
            <w:pPr>
              <w:spacing w:after="40"/>
            </w:pPr>
            <w:r>
              <w:rPr>
                <w:rFonts w:ascii="Calibri" w:hAnsi="Calibri"/>
                <w:color w:val="111827"/>
                <w:sz w:val="19"/>
              </w:rPr>
              <w:t>26/08/2026</w:t>
            </w:r>
          </w:p>
        </w:tc>
        <w:tc>
          <w:tcPr>
            <w:tcW w:type="dxa" w:w="4082"/>
          </w:tcPr>
          <w:p>
            <w:pPr>
              <w:spacing w:after="40"/>
            </w:pPr>
            <w:r>
              <w:rPr>
                <w:rFonts w:ascii="Calibri" w:hAnsi="Calibri"/>
                <w:color w:val="111827"/>
                <w:sz w:val="19"/>
              </w:rPr>
              <w:t>Primera versión con el alcance de los módulos del núcleo.</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1.1</w:t>
            </w:r>
          </w:p>
        </w:tc>
        <w:tc>
          <w:tcPr>
            <w:tcW w:type="dxa" w:w="1247"/>
          </w:tcPr>
          <w:p>
            <w:pPr>
              <w:spacing w:after="40"/>
            </w:pPr>
            <w:r>
              <w:rPr>
                <w:rFonts w:ascii="Calibri" w:hAnsi="Calibri"/>
                <w:color w:val="111827"/>
                <w:sz w:val="19"/>
              </w:rPr>
              <w:t>02/09/2026</w:t>
            </w:r>
          </w:p>
        </w:tc>
        <w:tc>
          <w:tcPr>
            <w:tcW w:type="dxa" w:w="4082"/>
          </w:tcPr>
          <w:p>
            <w:pPr>
              <w:spacing w:after="40"/>
            </w:pPr>
            <w:r>
              <w:rPr>
                <w:rFonts w:ascii="Calibri" w:hAnsi="Calibri"/>
                <w:color w:val="111827"/>
                <w:sz w:val="19"/>
              </w:rPr>
              <w:t>Incorporación del módulo de gestión de usuarios y la matriz de permisos.</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1.2</w:t>
            </w:r>
          </w:p>
        </w:tc>
        <w:tc>
          <w:tcPr>
            <w:tcW w:type="dxa" w:w="1247"/>
          </w:tcPr>
          <w:p>
            <w:pPr>
              <w:spacing w:after="40"/>
            </w:pPr>
            <w:r>
              <w:rPr>
                <w:rFonts w:ascii="Calibri" w:hAnsi="Calibri"/>
                <w:color w:val="111827"/>
                <w:sz w:val="19"/>
              </w:rPr>
              <w:t>05/09/2026</w:t>
            </w:r>
          </w:p>
        </w:tc>
        <w:tc>
          <w:tcPr>
            <w:tcW w:type="dxa" w:w="4082"/>
          </w:tcPr>
          <w:p>
            <w:pPr>
              <w:spacing w:after="40"/>
            </w:pPr>
            <w:r>
              <w:rPr>
                <w:rFonts w:ascii="Calibri" w:hAnsi="Calibri"/>
                <w:color w:val="111827"/>
                <w:sz w:val="19"/>
              </w:rPr>
              <w:t>Registro de los hallazgos de seguridad SEG-01 a SEG-07 y su remediación.</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1.3</w:t>
            </w:r>
          </w:p>
        </w:tc>
        <w:tc>
          <w:tcPr>
            <w:tcW w:type="dxa" w:w="1247"/>
          </w:tcPr>
          <w:p>
            <w:pPr>
              <w:spacing w:after="40"/>
            </w:pPr>
            <w:r>
              <w:rPr>
                <w:rFonts w:ascii="Calibri" w:hAnsi="Calibri"/>
                <w:color w:val="111827"/>
                <w:sz w:val="19"/>
              </w:rPr>
              <w:t>18/09/2026</w:t>
            </w:r>
          </w:p>
        </w:tc>
        <w:tc>
          <w:tcPr>
            <w:tcW w:type="dxa" w:w="4082"/>
          </w:tcPr>
          <w:p>
            <w:pPr>
              <w:spacing w:after="40"/>
            </w:pPr>
            <w:r>
              <w:rPr>
                <w:rFonts w:ascii="Calibri" w:hAnsi="Calibri"/>
                <w:color w:val="111827"/>
                <w:sz w:val="19"/>
              </w:rPr>
              <w:t>Incorporación de la auditoría de estados y la línea de tiempo del cliente.</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1.4</w:t>
            </w:r>
          </w:p>
        </w:tc>
        <w:tc>
          <w:tcPr>
            <w:tcW w:type="dxa" w:w="1247"/>
          </w:tcPr>
          <w:p>
            <w:pPr>
              <w:spacing w:after="40"/>
            </w:pPr>
            <w:r>
              <w:rPr>
                <w:rFonts w:ascii="Calibri" w:hAnsi="Calibri"/>
                <w:color w:val="111827"/>
                <w:sz w:val="19"/>
              </w:rPr>
              <w:t>10/09/2026</w:t>
            </w:r>
          </w:p>
        </w:tc>
        <w:tc>
          <w:tcPr>
            <w:tcW w:type="dxa" w:w="4082"/>
          </w:tcPr>
          <w:p>
            <w:pPr>
              <w:spacing w:after="40"/>
            </w:pPr>
            <w:r>
              <w:rPr>
                <w:rFonts w:ascii="Calibri" w:hAnsi="Calibri"/>
                <w:color w:val="111827"/>
                <w:sz w:val="19"/>
              </w:rPr>
              <w:t>Incorporación de la recuperación de contraseña y la verificación de correo.</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1.5</w:t>
            </w:r>
          </w:p>
        </w:tc>
        <w:tc>
          <w:tcPr>
            <w:tcW w:type="dxa" w:w="1247"/>
          </w:tcPr>
          <w:p>
            <w:pPr>
              <w:spacing w:after="40"/>
            </w:pPr>
            <w:r>
              <w:rPr>
                <w:rFonts w:ascii="Calibri" w:hAnsi="Calibri"/>
                <w:color w:val="111827"/>
                <w:sz w:val="19"/>
              </w:rPr>
              <w:t>11/09/2026</w:t>
            </w:r>
          </w:p>
        </w:tc>
        <w:tc>
          <w:tcPr>
            <w:tcW w:type="dxa" w:w="4082"/>
          </w:tcPr>
          <w:p>
            <w:pPr>
              <w:spacing w:after="40"/>
            </w:pPr>
            <w:r>
              <w:rPr>
                <w:rFonts w:ascii="Calibri" w:hAnsi="Calibri"/>
                <w:color w:val="111827"/>
                <w:sz w:val="19"/>
              </w:rPr>
              <w:t>Verificación completa contra el código y declaración de la deuda técnica conocida.</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bl>
    <w:p>
      <w:pPr>
        <w:spacing w:after="40"/>
      </w:pPr>
    </w:p>
    <w:p>
      <w:pPr>
        <w:spacing w:before="0" w:after="120"/>
      </w:pPr>
      <w:r>
        <w:rPr>
          <w:rFonts w:ascii="Calibri" w:hAnsi="Calibri"/>
          <w:b w:val="0"/>
          <w:color w:val="111827"/>
          <w:sz w:val="21"/>
        </w:rPr>
        <w:t>Este documento explica cómo poner SIGTM en funcionamiento y cómo mantenerlo. Para aprender a usar la aplicación, ver el Manual de Usuario (ADSO-ADSO-MAN-02).</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Ningún secreto aparece en este documento</w:t>
            </w:r>
            <w:r>
              <w:rPr>
                <w:rFonts w:ascii="Calibri" w:hAnsi="Calibri"/>
                <w:color w:val="374151"/>
                <w:sz w:val="20"/>
              </w:rPr>
            </w:r>
          </w:p>
          <w:p>
            <w:r>
              <w:rPr>
                <w:rFonts w:ascii="Calibri" w:hAnsi="Calibri"/>
                <w:b/>
                <w:color w:val="0B6B57"/>
                <w:sz w:val="21"/>
              </w:rPr>
              <w:t>La contraseña de la base de datos, el secreto de firma de los tokens y las claves de los proveedores no se escriben aquí ni en el repositorio. Solo se indica el nombre de cada variable y dónde obtener su valor. El archivo .env está ignorado por el control de versiones; lo único que se versiona es .env.example, sin valores. Las únicas credenciales que sí figuran son las de las cinco cuentas de demostración, que solo existen en los datos de la semilla y no dan acceso a nada real.</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2. Arquitectura de ejecución</w:t>
      </w:r>
    </w:p>
    <w:p>
      <w:pPr>
        <w:spacing w:before="0" w:after="120"/>
      </w:pPr>
      <w:r>
        <w:rPr>
          <w:rFonts w:ascii="Calibri" w:hAnsi="Calibri"/>
          <w:b w:val="0"/>
          <w:color w:val="111827"/>
          <w:sz w:val="21"/>
        </w:rPr>
        <w:t>SIGTM son dos piezas separadas que se comunican por HTTP, más una base de datos administrada en la nube.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fill="0B6B57"/>
          </w:tcPr>
          <w:p>
            <w:pPr>
              <w:spacing w:after="40"/>
            </w:pPr>
            <w:r>
              <w:rPr>
                <w:rFonts w:ascii="Calibri" w:hAnsi="Calibri"/>
                <w:b/>
                <w:color w:val="FFFFFF"/>
                <w:sz w:val="19"/>
              </w:rPr>
              <w:t>Pieza</w:t>
            </w:r>
          </w:p>
        </w:tc>
        <w:tc>
          <w:tcPr>
            <w:tcW w:type="dxa" w:w="2608"/>
            <w:shd w:val="clear" w:fill="0B6B57"/>
          </w:tcPr>
          <w:p>
            <w:pPr>
              <w:spacing w:after="40"/>
            </w:pPr>
            <w:r>
              <w:rPr>
                <w:rFonts w:ascii="Calibri" w:hAnsi="Calibri"/>
                <w:b/>
                <w:color w:val="FFFFFF"/>
                <w:sz w:val="19"/>
              </w:rPr>
              <w:t>Tecnología</w:t>
            </w:r>
          </w:p>
        </w:tc>
        <w:tc>
          <w:tcPr>
            <w:tcW w:type="dxa" w:w="1361"/>
            <w:shd w:val="clear" w:fill="0B6B57"/>
          </w:tcPr>
          <w:p>
            <w:pPr>
              <w:spacing w:after="40"/>
            </w:pPr>
            <w:r>
              <w:rPr>
                <w:rFonts w:ascii="Calibri" w:hAnsi="Calibri"/>
                <w:b/>
                <w:color w:val="FFFFFF"/>
                <w:sz w:val="19"/>
              </w:rPr>
              <w:t>Puerto</w:t>
            </w:r>
          </w:p>
        </w:tc>
        <w:tc>
          <w:tcPr>
            <w:tcW w:type="dxa" w:w="3402"/>
            <w:shd w:val="clear" w:fill="0B6B57"/>
          </w:tcPr>
          <w:p>
            <w:pPr>
              <w:spacing w:after="40"/>
            </w:pPr>
            <w:r>
              <w:rPr>
                <w:rFonts w:ascii="Calibri" w:hAnsi="Calibri"/>
                <w:b/>
                <w:color w:val="FFFFFF"/>
                <w:sz w:val="19"/>
              </w:rPr>
              <w:t>Dónde vive</w:t>
            </w:r>
          </w:p>
        </w:tc>
      </w:tr>
      <w:tr>
        <w:tc>
          <w:tcPr>
            <w:tcW w:type="dxa" w:w="1814"/>
          </w:tcPr>
          <w:p>
            <w:pPr>
              <w:spacing w:after="40"/>
            </w:pPr>
            <w:r>
              <w:rPr>
                <w:rFonts w:ascii="Calibri" w:hAnsi="Calibri"/>
                <w:color w:val="111827"/>
                <w:sz w:val="19"/>
              </w:rPr>
              <w:t>Servidor (API)</w:t>
            </w:r>
          </w:p>
        </w:tc>
        <w:tc>
          <w:tcPr>
            <w:tcW w:type="dxa" w:w="2608"/>
          </w:tcPr>
          <w:p>
            <w:pPr>
              <w:spacing w:after="40"/>
            </w:pPr>
            <w:r>
              <w:rPr>
                <w:rFonts w:ascii="Calibri" w:hAnsi="Calibri"/>
                <w:color w:val="111827"/>
                <w:sz w:val="19"/>
              </w:rPr>
              <w:t>Node.js 20 · Express 5.2 · Prisma 5.22</w:t>
            </w:r>
          </w:p>
        </w:tc>
        <w:tc>
          <w:tcPr>
            <w:tcW w:type="dxa" w:w="1361"/>
          </w:tcPr>
          <w:p>
            <w:pPr>
              <w:spacing w:after="40"/>
            </w:pPr>
            <w:r>
              <w:rPr>
                <w:rFonts w:ascii="Calibri" w:hAnsi="Calibri"/>
                <w:color w:val="111827"/>
                <w:sz w:val="19"/>
              </w:rPr>
              <w:t>3001</w:t>
            </w:r>
          </w:p>
        </w:tc>
        <w:tc>
          <w:tcPr>
            <w:tcW w:type="dxa" w:w="3402"/>
          </w:tcPr>
          <w:p>
            <w:pPr>
              <w:spacing w:after="40"/>
            </w:pPr>
            <w:r>
              <w:rPr>
                <w:rFonts w:ascii="Calibri" w:hAnsi="Calibri"/>
                <w:color w:val="111827"/>
                <w:sz w:val="19"/>
              </w:rPr>
              <w:t>Proceso de Node.js en la raíz del repositorio.</w:t>
            </w:r>
          </w:p>
        </w:tc>
      </w:tr>
      <w:tr>
        <w:tc>
          <w:tcPr>
            <w:tcW w:type="dxa" w:w="1814"/>
          </w:tcPr>
          <w:p>
            <w:pPr>
              <w:spacing w:after="40"/>
            </w:pPr>
            <w:r>
              <w:rPr>
                <w:rFonts w:ascii="Calibri" w:hAnsi="Calibri"/>
                <w:color w:val="111827"/>
                <w:sz w:val="19"/>
              </w:rPr>
              <w:t>Cliente web</w:t>
            </w:r>
          </w:p>
        </w:tc>
        <w:tc>
          <w:tcPr>
            <w:tcW w:type="dxa" w:w="2608"/>
          </w:tcPr>
          <w:p>
            <w:pPr>
              <w:spacing w:after="40"/>
            </w:pPr>
            <w:r>
              <w:rPr>
                <w:rFonts w:ascii="Calibri" w:hAnsi="Calibri"/>
                <w:color w:val="111827"/>
                <w:sz w:val="19"/>
              </w:rPr>
              <w:t>React 19.2 · Vite 8.2 · Tailwind CSS 4.3</w:t>
            </w:r>
          </w:p>
        </w:tc>
        <w:tc>
          <w:tcPr>
            <w:tcW w:type="dxa" w:w="1361"/>
          </w:tcPr>
          <w:p>
            <w:pPr>
              <w:spacing w:after="40"/>
            </w:pPr>
            <w:r>
              <w:rPr>
                <w:rFonts w:ascii="Calibri" w:hAnsi="Calibri"/>
                <w:color w:val="111827"/>
                <w:sz w:val="19"/>
              </w:rPr>
              <w:t>5173</w:t>
            </w:r>
          </w:p>
        </w:tc>
        <w:tc>
          <w:tcPr>
            <w:tcW w:type="dxa" w:w="3402"/>
          </w:tcPr>
          <w:p>
            <w:pPr>
              <w:spacing w:after="40"/>
            </w:pPr>
            <w:r>
              <w:rPr>
                <w:rFonts w:ascii="Calibri" w:hAnsi="Calibri"/>
                <w:color w:val="111827"/>
                <w:sz w:val="19"/>
              </w:rPr>
              <w:t>Servidor de desarrollo de Vite. Carpeta frontend.</w:t>
            </w:r>
          </w:p>
        </w:tc>
      </w:tr>
      <w:tr>
        <w:tc>
          <w:tcPr>
            <w:tcW w:type="dxa" w:w="1814"/>
          </w:tcPr>
          <w:p>
            <w:pPr>
              <w:spacing w:after="40"/>
            </w:pPr>
            <w:r>
              <w:rPr>
                <w:rFonts w:ascii="Calibri" w:hAnsi="Calibri"/>
                <w:color w:val="111827"/>
                <w:sz w:val="19"/>
              </w:rPr>
              <w:t>Base de datos</w:t>
            </w:r>
          </w:p>
        </w:tc>
        <w:tc>
          <w:tcPr>
            <w:tcW w:type="dxa" w:w="2608"/>
          </w:tcPr>
          <w:p>
            <w:pPr>
              <w:spacing w:after="40"/>
            </w:pPr>
            <w:r>
              <w:rPr>
                <w:rFonts w:ascii="Calibri" w:hAnsi="Calibri"/>
                <w:color w:val="111827"/>
                <w:sz w:val="19"/>
              </w:rPr>
              <w:t>PostgreSQL alojado en Neon</w:t>
            </w:r>
          </w:p>
        </w:tc>
        <w:tc>
          <w:tcPr>
            <w:tcW w:type="dxa" w:w="1361"/>
          </w:tcPr>
          <w:p>
            <w:pPr>
              <w:spacing w:after="40"/>
            </w:pPr>
            <w:r>
              <w:rPr>
                <w:rFonts w:ascii="Calibri" w:hAnsi="Calibri"/>
                <w:color w:val="111827"/>
                <w:sz w:val="19"/>
              </w:rPr>
              <w:t>5432 (TLS)</w:t>
            </w:r>
          </w:p>
        </w:tc>
        <w:tc>
          <w:tcPr>
            <w:tcW w:type="dxa" w:w="3402"/>
          </w:tcPr>
          <w:p>
            <w:pPr>
              <w:spacing w:after="40"/>
            </w:pPr>
            <w:r>
              <w:rPr>
                <w:rFonts w:ascii="Calibri" w:hAnsi="Calibri"/>
                <w:color w:val="111827"/>
                <w:sz w:val="19"/>
              </w:rPr>
              <w:t>Servicio administrado en la nube, compartido por los tres integrantes.</w:t>
            </w:r>
          </w:p>
        </w:tc>
      </w:tr>
    </w:tbl>
    <w:p>
      <w:pPr>
        <w:spacing w:after="40"/>
      </w:pPr>
    </w:p>
    <w:p>
      <w:pPr>
        <w:spacing w:before="0" w:after="120"/>
      </w:pPr>
      <w:r>
        <w:rPr>
          <w:rFonts w:ascii="Calibri" w:hAnsi="Calibri"/>
          <w:b w:val="0"/>
          <w:color w:val="111827"/>
          <w:sz w:val="21"/>
        </w:rPr>
        <w:t>El cliente no habla con la base de datos: todo pasa por la API. La API es sin estado —no guarda sesiones— y la identidad viaja en un token firmado que dura ocho horas. El único componente que consulta la base es la capa de repositorios del servidor.</w:t>
      </w:r>
    </w:p>
    <w:p>
      <w:pPr>
        <w:spacing w:before="240" w:after="80"/>
      </w:pPr>
      <w:r>
        <w:rPr>
          <w:rFonts w:ascii="Calibri" w:hAnsi="Calibri"/>
          <w:b/>
          <w:color w:val="0B6B57"/>
          <w:sz w:val="24"/>
        </w:rPr>
        <w:t>2.1  Requisitos de la máquina</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0B6B57"/>
          </w:tcPr>
          <w:p>
            <w:pPr>
              <w:spacing w:after="40"/>
            </w:pPr>
            <w:r>
              <w:rPr>
                <w:rFonts w:ascii="Calibri" w:hAnsi="Calibri"/>
                <w:b/>
                <w:color w:val="FFFFFF"/>
                <w:sz w:val="19"/>
              </w:rPr>
              <w:t>Requisito</w:t>
            </w:r>
          </w:p>
        </w:tc>
        <w:tc>
          <w:tcPr>
            <w:tcW w:type="dxa" w:w="3061"/>
            <w:shd w:val="clear" w:fill="0B6B57"/>
          </w:tcPr>
          <w:p>
            <w:pPr>
              <w:spacing w:after="40"/>
            </w:pPr>
            <w:r>
              <w:rPr>
                <w:rFonts w:ascii="Calibri" w:hAnsi="Calibri"/>
                <w:b/>
                <w:color w:val="FFFFFF"/>
                <w:sz w:val="19"/>
              </w:rPr>
              <w:t>Versión mínima</w:t>
            </w:r>
          </w:p>
        </w:tc>
        <w:tc>
          <w:tcPr>
            <w:tcW w:type="dxa" w:w="3855"/>
            <w:shd w:val="clear" w:fill="0B6B57"/>
          </w:tcPr>
          <w:p>
            <w:pPr>
              <w:spacing w:after="40"/>
            </w:pPr>
            <w:r>
              <w:rPr>
                <w:rFonts w:ascii="Calibri" w:hAnsi="Calibri"/>
                <w:b/>
                <w:color w:val="FFFFFF"/>
                <w:sz w:val="19"/>
              </w:rPr>
              <w:t>Para qué</w:t>
            </w:r>
          </w:p>
        </w:tc>
      </w:tr>
      <w:tr>
        <w:tc>
          <w:tcPr>
            <w:tcW w:type="dxa" w:w="2268"/>
          </w:tcPr>
          <w:p>
            <w:pPr>
              <w:spacing w:after="40"/>
            </w:pPr>
            <w:r>
              <w:rPr>
                <w:rFonts w:ascii="Calibri" w:hAnsi="Calibri"/>
                <w:color w:val="111827"/>
                <w:sz w:val="19"/>
              </w:rPr>
              <w:t>Node.js</w:t>
            </w:r>
          </w:p>
        </w:tc>
        <w:tc>
          <w:tcPr>
            <w:tcW w:type="dxa" w:w="3061"/>
          </w:tcPr>
          <w:p>
            <w:pPr>
              <w:spacing w:after="40"/>
            </w:pPr>
            <w:r>
              <w:rPr>
                <w:rFonts w:ascii="Calibri" w:hAnsi="Calibri"/>
                <w:color w:val="111827"/>
                <w:sz w:val="19"/>
              </w:rPr>
              <w:t>20 o superior</w:t>
            </w:r>
          </w:p>
        </w:tc>
        <w:tc>
          <w:tcPr>
            <w:tcW w:type="dxa" w:w="3855"/>
          </w:tcPr>
          <w:p>
            <w:pPr>
              <w:spacing w:after="40"/>
            </w:pPr>
            <w:r>
              <w:rPr>
                <w:rFonts w:ascii="Calibri" w:hAnsi="Calibri"/>
                <w:color w:val="111827"/>
                <w:sz w:val="19"/>
              </w:rPr>
              <w:t>Ejecutar el servidor y el cliente.</w:t>
            </w:r>
          </w:p>
        </w:tc>
      </w:tr>
      <w:tr>
        <w:tc>
          <w:tcPr>
            <w:tcW w:type="dxa" w:w="2268"/>
          </w:tcPr>
          <w:p>
            <w:pPr>
              <w:spacing w:after="40"/>
            </w:pPr>
            <w:r>
              <w:rPr>
                <w:rFonts w:ascii="Calibri" w:hAnsi="Calibri"/>
                <w:color w:val="111827"/>
                <w:sz w:val="19"/>
              </w:rPr>
              <w:t>npm</w:t>
            </w:r>
          </w:p>
        </w:tc>
        <w:tc>
          <w:tcPr>
            <w:tcW w:type="dxa" w:w="3061"/>
          </w:tcPr>
          <w:p>
            <w:pPr>
              <w:spacing w:after="40"/>
            </w:pPr>
            <w:r>
              <w:rPr>
                <w:rFonts w:ascii="Calibri" w:hAnsi="Calibri"/>
                <w:color w:val="111827"/>
                <w:sz w:val="19"/>
              </w:rPr>
              <w:t>El que acompaña a Node.js 20</w:t>
            </w:r>
          </w:p>
        </w:tc>
        <w:tc>
          <w:tcPr>
            <w:tcW w:type="dxa" w:w="3855"/>
          </w:tcPr>
          <w:p>
            <w:pPr>
              <w:spacing w:after="40"/>
            </w:pPr>
            <w:r>
              <w:rPr>
                <w:rFonts w:ascii="Calibri" w:hAnsi="Calibri"/>
                <w:color w:val="111827"/>
                <w:sz w:val="19"/>
              </w:rPr>
              <w:t>Instalar dependencias y ejecutar los guiones del proyecto.</w:t>
            </w:r>
          </w:p>
        </w:tc>
      </w:tr>
      <w:tr>
        <w:tc>
          <w:tcPr>
            <w:tcW w:type="dxa" w:w="2268"/>
          </w:tcPr>
          <w:p>
            <w:pPr>
              <w:spacing w:after="40"/>
            </w:pPr>
            <w:r>
              <w:rPr>
                <w:rFonts w:ascii="Calibri" w:hAnsi="Calibri"/>
                <w:color w:val="111827"/>
                <w:sz w:val="19"/>
              </w:rPr>
              <w:t>Git</w:t>
            </w:r>
          </w:p>
        </w:tc>
        <w:tc>
          <w:tcPr>
            <w:tcW w:type="dxa" w:w="3061"/>
          </w:tcPr>
          <w:p>
            <w:pPr>
              <w:spacing w:after="40"/>
            </w:pPr>
            <w:r>
              <w:rPr>
                <w:rFonts w:ascii="Calibri" w:hAnsi="Calibri"/>
                <w:color w:val="111827"/>
                <w:sz w:val="19"/>
              </w:rPr>
              <w:t>Cualquier versión reciente</w:t>
            </w:r>
          </w:p>
        </w:tc>
        <w:tc>
          <w:tcPr>
            <w:tcW w:type="dxa" w:w="3855"/>
          </w:tcPr>
          <w:p>
            <w:pPr>
              <w:spacing w:after="40"/>
            </w:pPr>
            <w:r>
              <w:rPr>
                <w:rFonts w:ascii="Calibri" w:hAnsi="Calibri"/>
                <w:color w:val="111827"/>
                <w:sz w:val="19"/>
              </w:rPr>
              <w:t>Obtener el código y trabajar por ramas.</w:t>
            </w:r>
          </w:p>
        </w:tc>
      </w:tr>
      <w:tr>
        <w:tc>
          <w:tcPr>
            <w:tcW w:type="dxa" w:w="2268"/>
          </w:tcPr>
          <w:p>
            <w:pPr>
              <w:spacing w:after="40"/>
            </w:pPr>
            <w:r>
              <w:rPr>
                <w:rFonts w:ascii="Calibri" w:hAnsi="Calibri"/>
                <w:color w:val="111827"/>
                <w:sz w:val="19"/>
              </w:rPr>
              <w:t>Navegador</w:t>
            </w:r>
          </w:p>
        </w:tc>
        <w:tc>
          <w:tcPr>
            <w:tcW w:type="dxa" w:w="3061"/>
          </w:tcPr>
          <w:p>
            <w:pPr>
              <w:spacing w:after="40"/>
            </w:pPr>
            <w:r>
              <w:rPr>
                <w:rFonts w:ascii="Calibri" w:hAnsi="Calibri"/>
                <w:color w:val="111827"/>
                <w:sz w:val="19"/>
              </w:rPr>
              <w:t>Chrome, Edge, Firefox o Safari reciente</w:t>
            </w:r>
          </w:p>
        </w:tc>
        <w:tc>
          <w:tcPr>
            <w:tcW w:type="dxa" w:w="3855"/>
          </w:tcPr>
          <w:p>
            <w:pPr>
              <w:spacing w:after="40"/>
            </w:pPr>
            <w:r>
              <w:rPr>
                <w:rFonts w:ascii="Calibri" w:hAnsi="Calibri"/>
                <w:color w:val="111827"/>
                <w:sz w:val="19"/>
              </w:rPr>
              <w:t>Usar la aplicación.</w:t>
            </w:r>
          </w:p>
        </w:tc>
      </w:tr>
      <w:tr>
        <w:tc>
          <w:tcPr>
            <w:tcW w:type="dxa" w:w="2268"/>
          </w:tcPr>
          <w:p>
            <w:pPr>
              <w:spacing w:after="40"/>
            </w:pPr>
            <w:r>
              <w:rPr>
                <w:rFonts w:ascii="Calibri" w:hAnsi="Calibri"/>
                <w:color w:val="111827"/>
                <w:sz w:val="19"/>
              </w:rPr>
              <w:t>Acceso a internet</w:t>
            </w:r>
          </w:p>
        </w:tc>
        <w:tc>
          <w:tcPr>
            <w:tcW w:type="dxa" w:w="3061"/>
          </w:tcPr>
          <w:p>
            <w:pPr>
              <w:spacing w:after="40"/>
            </w:pPr>
            <w:r>
              <w:rPr>
                <w:rFonts w:ascii="Calibri" w:hAnsi="Calibri"/>
                <w:color w:val="111827"/>
                <w:sz w:val="19"/>
              </w:rPr>
              <w:t>—</w:t>
            </w:r>
          </w:p>
        </w:tc>
        <w:tc>
          <w:tcPr>
            <w:tcW w:type="dxa" w:w="3855"/>
          </w:tcPr>
          <w:p>
            <w:pPr>
              <w:spacing w:after="40"/>
            </w:pPr>
            <w:r>
              <w:rPr>
                <w:rFonts w:ascii="Calibri" w:hAnsi="Calibri"/>
                <w:color w:val="111827"/>
                <w:sz w:val="19"/>
              </w:rPr>
              <w:t>La base de datos está en la nube: sin conexión la aplicación no funciona.</w:t>
            </w:r>
          </w:p>
        </w:tc>
      </w:tr>
    </w:tbl>
    <w:p>
      <w:pPr>
        <w:spacing w:after="40"/>
      </w:pPr>
    </w:p>
    <w:p>
      <w:pPr>
        <w:spacing w:before="0" w:after="120"/>
      </w:pPr>
      <w:r>
        <w:rPr>
          <w:rFonts w:ascii="Calibri" w:hAnsi="Calibri"/>
          <w:b w:val="0"/>
          <w:color w:val="111827"/>
          <w:sz w:val="21"/>
        </w:rPr>
        <w:t>No hace falta instalar PostgreSQL en el equipo: la base de datos vive en Neon y la comparten los tres integrantes. Tampoco hacen falta contenedores. El empaquetado en contenedores está declarado como pendiente (RNF-017): mientras tanto, cada integrante ejecuta el proyecto con Node.js sobre su propio equipo.</w:t>
      </w:r>
    </w:p>
    <w:p>
      <w:r>
        <w:br w:type="page"/>
      </w:r>
    </w:p>
    <w:p>
      <w:pPr>
        <w:spacing w:before="360" w:after="160"/>
        <w:pBdr>
          <w:bottom w:val="single" w:sz="6" w:color="0B6B57"/>
        </w:pBdr>
      </w:pPr>
      <w:r>
        <w:rPr>
          <w:rFonts w:ascii="Calibri" w:hAnsi="Calibri"/>
          <w:b/>
          <w:color w:val="0A5647"/>
          <w:sz w:val="30"/>
        </w:rPr>
        <w:t>3. Instalación</w:t>
      </w:r>
    </w:p>
    <w:p>
      <w:pPr>
        <w:spacing w:before="240" w:after="80"/>
      </w:pPr>
      <w:r>
        <w:rPr>
          <w:rFonts w:ascii="Calibri" w:hAnsi="Calibri"/>
          <w:b/>
          <w:color w:val="0B6B57"/>
          <w:sz w:val="24"/>
        </w:rPr>
        <w:t>3.1  Obtener el código</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git clone https://github.com/repelindayeha-star/SGITM.git</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cd SGITM</w:t>
            </w:r>
            <w:r>
              <w:rPr>
                <w:rFonts w:ascii="Consolas" w:hAnsi="Consolas"/>
                <w:color w:val="DCF2EC"/>
                <w:sz w:val="17"/>
              </w:rPr>
            </w:r>
            <w:r>
              <w:rPr>
                <w:rFonts w:ascii="Consolas" w:hAnsi="Consolas"/>
                <w:color w:val="DCF2EC"/>
                <w:sz w:val="17"/>
              </w:rPr>
            </w:r>
          </w:p>
        </w:tc>
      </w:tr>
    </w:tbl>
    <w:p>
      <w:pPr>
        <w:spacing w:after="40"/>
      </w:pPr>
    </w:p>
    <w:p>
      <w:pPr>
        <w:spacing w:before="240" w:after="80"/>
      </w:pPr>
      <w:r>
        <w:rPr>
          <w:rFonts w:ascii="Calibri" w:hAnsi="Calibri"/>
          <w:b/>
          <w:color w:val="0B6B57"/>
          <w:sz w:val="24"/>
        </w:rPr>
        <w:t>3.2  Obtener la cadena de conexión a la base de datos</w:t>
      </w:r>
    </w:p>
    <w:p>
      <w:pPr>
        <w:spacing w:after="80"/>
        <w:ind w:left="454"/>
      </w:pPr>
      <w:r>
        <w:rPr>
          <w:rFonts w:ascii="Calibri" w:hAnsi="Calibri"/>
          <w:b/>
          <w:color w:val="0B6B57"/>
        </w:rPr>
        <w:t>1.  Pedir al líder del proyecto la cadena de conexión de la base de datos compartida en Neon.</w:t>
      </w:r>
      <w:r>
        <w:rPr>
          <w:rFonts w:ascii="Calibri" w:hAnsi="Calibri"/>
          <w:sz w:val="21"/>
        </w:rPr>
      </w:r>
    </w:p>
    <w:p>
      <w:pPr>
        <w:spacing w:after="80"/>
        <w:ind w:left="454"/>
      </w:pPr>
      <w:r>
        <w:rPr>
          <w:rFonts w:ascii="Calibri" w:hAnsi="Calibri"/>
          <w:b/>
          <w:color w:val="0B6B57"/>
        </w:rPr>
        <w:t>2.  Comprobar que empiece por postgresql:// y que termine en ?sslmode=require. Neon exige conexión cifrada.</w:t>
      </w:r>
      <w:r>
        <w:rPr>
          <w:rFonts w:ascii="Calibri" w:hAnsi="Calibri"/>
          <w:sz w:val="21"/>
        </w:rPr>
      </w:r>
    </w:p>
    <w:p>
      <w:pPr>
        <w:spacing w:after="80"/>
        <w:ind w:left="454"/>
      </w:pPr>
      <w:r>
        <w:rPr>
          <w:rFonts w:ascii="Calibri" w:hAnsi="Calibri"/>
          <w:b/>
          <w:color w:val="0B6B57"/>
        </w:rPr>
        <w:t>3.  Guardarla en la variable DATABASE_URL del archivo .env, sin comillas y en una sola línea.</w:t>
      </w:r>
      <w:r>
        <w:rPr>
          <w:rFonts w:ascii="Calibri" w:hAnsi="Calibri"/>
          <w:sz w:val="21"/>
        </w:rPr>
      </w:r>
    </w:p>
    <w:p>
      <w:pPr>
        <w:spacing w:after="80"/>
        <w:ind w:left="454"/>
      </w:pPr>
      <w:r>
        <w:rPr>
          <w:rFonts w:ascii="Calibri" w:hAnsi="Calibri"/>
          <w:b/>
          <w:color w:val="0B6B57"/>
        </w:rPr>
        <w:t>4.  No crear una base propia. Los tres integrantes trabajan sobre la misma, con los mismos datos de demostración.</w:t>
      </w:r>
      <w:r>
        <w:rPr>
          <w:rFonts w:ascii="Calibri" w:hAnsi="Calibri"/>
          <w:sz w:val="21"/>
        </w:rPr>
      </w: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La base de datos es una sola para todo el equipo</w:t>
            </w:r>
            <w:r>
              <w:rPr>
                <w:rFonts w:ascii="Calibri" w:hAnsi="Calibri"/>
                <w:color w:val="374151"/>
                <w:sz w:val="20"/>
              </w:rPr>
            </w:r>
          </w:p>
          <w:p>
            <w:r>
              <w:rPr>
                <w:rFonts w:ascii="Calibri" w:hAnsi="Calibri"/>
                <w:b/>
                <w:color w:val="B45309"/>
                <w:sz w:val="21"/>
              </w:rPr>
              <w:t>No es una copia por persona: es la misma base. Todo lo que se registre desde un equipo lo ven los otros dos, y todo lo que se borre desde un equipo desaparece para los tres. Por eso cualquier operación que reinicie o vacíe la base tiene que hablarse antes con el líder técnico.</w:t>
            </w:r>
            <w:r>
              <w:rPr>
                <w:rFonts w:ascii="Calibri" w:hAnsi="Calibri"/>
                <w:color w:val="374151"/>
                <w:sz w:val="20"/>
              </w:rPr>
            </w:r>
          </w:p>
        </w:tc>
      </w:tr>
    </w:tbl>
    <w:p>
      <w:pPr>
        <w:spacing w:after="40"/>
      </w:pPr>
    </w:p>
    <w:p>
      <w:pPr>
        <w:spacing w:before="240" w:after="80"/>
      </w:pPr>
      <w:r>
        <w:rPr>
          <w:rFonts w:ascii="Calibri" w:hAnsi="Calibri"/>
          <w:b/>
          <w:color w:val="0B6B57"/>
          <w:sz w:val="24"/>
        </w:rPr>
        <w:t>3.3  Configurar las variables de entorno</w:t>
      </w:r>
    </w:p>
    <w:p>
      <w:pPr>
        <w:spacing w:before="0" w:after="120"/>
      </w:pPr>
      <w:r>
        <w:rPr>
          <w:rFonts w:ascii="Calibri" w:hAnsi="Calibri"/>
          <w:b w:val="0"/>
          <w:color w:val="111827"/>
          <w:sz w:val="21"/>
        </w:rPr>
        <w:t>Copiar el archivo de ejemplo de la raíz del proyecto y completarlo:</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cp .env.example .env      # en PowerShell:  Copy-Item .env.example .env</w:t>
            </w:r>
          </w:p>
        </w:tc>
      </w:tr>
    </w:tbl>
    <w:p>
      <w:pPr>
        <w:spacing w:after="40"/>
      </w:pPr>
    </w:p>
    <w:p>
      <w:pPr>
        <w:spacing w:before="0" w:after="120"/>
      </w:pPr>
      <w:r>
        <w:rPr>
          <w:rFonts w:ascii="Calibri" w:hAnsi="Calibri"/>
          <w:b w:val="0"/>
          <w:color w:val="111827"/>
          <w:sz w:val="21"/>
        </w:rPr>
        <w:t>Variables obligatorias. Sin ellas la aplicación no arranca:</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B6B57"/>
          </w:tcPr>
          <w:p>
            <w:pPr>
              <w:spacing w:after="40"/>
            </w:pPr>
            <w:r>
              <w:rPr>
                <w:rFonts w:ascii="Calibri" w:hAnsi="Calibri"/>
                <w:b/>
                <w:color w:val="FFFFFF"/>
                <w:sz w:val="19"/>
              </w:rPr>
              <w:t>Variable</w:t>
            </w:r>
          </w:p>
        </w:tc>
        <w:tc>
          <w:tcPr>
            <w:tcW w:type="dxa" w:w="3515"/>
            <w:shd w:val="clear" w:fill="0B6B57"/>
          </w:tcPr>
          <w:p>
            <w:pPr>
              <w:spacing w:after="40"/>
            </w:pPr>
            <w:r>
              <w:rPr>
                <w:rFonts w:ascii="Calibri" w:hAnsi="Calibri"/>
                <w:b/>
                <w:color w:val="FFFFFF"/>
                <w:sz w:val="19"/>
              </w:rPr>
              <w:t>Qué es</w:t>
            </w:r>
          </w:p>
        </w:tc>
        <w:tc>
          <w:tcPr>
            <w:tcW w:type="dxa" w:w="3288"/>
            <w:shd w:val="clear" w:fill="0B6B57"/>
          </w:tcPr>
          <w:p>
            <w:pPr>
              <w:spacing w:after="40"/>
            </w:pPr>
            <w:r>
              <w:rPr>
                <w:rFonts w:ascii="Calibri" w:hAnsi="Calibri"/>
                <w:b/>
                <w:color w:val="FFFFFF"/>
                <w:sz w:val="19"/>
              </w:rPr>
              <w:t>Dónde se obtiene</w:t>
            </w:r>
          </w:p>
        </w:tc>
      </w:tr>
      <w:tr>
        <w:tc>
          <w:tcPr>
            <w:tcW w:type="dxa" w:w="2381"/>
          </w:tcPr>
          <w:p>
            <w:pPr>
              <w:spacing w:after="40"/>
            </w:pPr>
            <w:r>
              <w:rPr>
                <w:rFonts w:ascii="Calibri" w:hAnsi="Calibri"/>
                <w:color w:val="111827"/>
                <w:sz w:val="19"/>
              </w:rPr>
              <w:t>DATABASE_URL</w:t>
            </w:r>
          </w:p>
        </w:tc>
        <w:tc>
          <w:tcPr>
            <w:tcW w:type="dxa" w:w="3515"/>
          </w:tcPr>
          <w:p>
            <w:pPr>
              <w:spacing w:after="40"/>
            </w:pPr>
            <w:r>
              <w:rPr>
                <w:rFonts w:ascii="Calibri" w:hAnsi="Calibri"/>
                <w:color w:val="111827"/>
                <w:sz w:val="19"/>
              </w:rPr>
              <w:t>Cadena de conexión a PostgreSQL. Es la variable sin la cual el servidor no inicia.</w:t>
            </w:r>
          </w:p>
        </w:tc>
        <w:tc>
          <w:tcPr>
            <w:tcW w:type="dxa" w:w="3288"/>
          </w:tcPr>
          <w:p>
            <w:pPr>
              <w:spacing w:after="40"/>
            </w:pPr>
            <w:r>
              <w:rPr>
                <w:rFonts w:ascii="Calibri" w:hAnsi="Calibri"/>
                <w:color w:val="111827"/>
                <w:sz w:val="19"/>
              </w:rPr>
              <w:t>Panel de Neon, sección de conexión. La comparte el líder del proyecto.</w:t>
            </w:r>
          </w:p>
        </w:tc>
      </w:tr>
      <w:tr>
        <w:tc>
          <w:tcPr>
            <w:tcW w:type="dxa" w:w="2381"/>
          </w:tcPr>
          <w:p>
            <w:pPr>
              <w:spacing w:after="40"/>
            </w:pPr>
            <w:r>
              <w:rPr>
                <w:rFonts w:ascii="Calibri" w:hAnsi="Calibri"/>
                <w:color w:val="111827"/>
                <w:sz w:val="19"/>
              </w:rPr>
              <w:t>JWT_SECRET</w:t>
            </w:r>
          </w:p>
        </w:tc>
        <w:tc>
          <w:tcPr>
            <w:tcW w:type="dxa" w:w="3515"/>
          </w:tcPr>
          <w:p>
            <w:pPr>
              <w:spacing w:after="40"/>
            </w:pPr>
            <w:r>
              <w:rPr>
                <w:rFonts w:ascii="Calibri" w:hAnsi="Calibri"/>
                <w:color w:val="111827"/>
                <w:sz w:val="19"/>
              </w:rPr>
              <w:t>Clave con la que se firman los tokens de sesión.</w:t>
            </w:r>
          </w:p>
        </w:tc>
        <w:tc>
          <w:tcPr>
            <w:tcW w:type="dxa" w:w="3288"/>
          </w:tcPr>
          <w:p>
            <w:pPr>
              <w:spacing w:after="40"/>
            </w:pPr>
            <w:r>
              <w:rPr>
                <w:rFonts w:ascii="Calibri" w:hAnsi="Calibri"/>
                <w:color w:val="111827"/>
                <w:sz w:val="19"/>
              </w:rPr>
              <w:t>Se genera en el propio equipo. Ver el punto 3.4.</w:t>
            </w:r>
          </w:p>
        </w:tc>
      </w:tr>
      <w:tr>
        <w:tc>
          <w:tcPr>
            <w:tcW w:type="dxa" w:w="2381"/>
          </w:tcPr>
          <w:p>
            <w:pPr>
              <w:spacing w:after="40"/>
            </w:pPr>
            <w:r>
              <w:rPr>
                <w:rFonts w:ascii="Calibri" w:hAnsi="Calibri"/>
                <w:color w:val="111827"/>
                <w:sz w:val="19"/>
              </w:rPr>
              <w:t>FRONTEND_URL</w:t>
            </w:r>
          </w:p>
        </w:tc>
        <w:tc>
          <w:tcPr>
            <w:tcW w:type="dxa" w:w="3515"/>
          </w:tcPr>
          <w:p>
            <w:pPr>
              <w:spacing w:after="40"/>
            </w:pPr>
            <w:r>
              <w:rPr>
                <w:rFonts w:ascii="Calibri" w:hAnsi="Calibri"/>
                <w:color w:val="111827"/>
                <w:sz w:val="19"/>
              </w:rPr>
              <w:t>Origen que el navegador puede usar para llamar a la API. Obligatoria en producción.</w:t>
            </w:r>
          </w:p>
        </w:tc>
        <w:tc>
          <w:tcPr>
            <w:tcW w:type="dxa" w:w="3288"/>
          </w:tcPr>
          <w:p>
            <w:pPr>
              <w:spacing w:after="40"/>
            </w:pPr>
            <w:r>
              <w:rPr>
                <w:rFonts w:ascii="Calibri" w:hAnsi="Calibri"/>
                <w:color w:val="111827"/>
                <w:sz w:val="19"/>
              </w:rPr>
              <w:t>En desarrollo: http://localhost:5173. En producción, la dirección real desde la que se sirve el cliente.</w:t>
            </w:r>
          </w:p>
        </w:tc>
      </w:tr>
    </w:tbl>
    <w:p>
      <w:pPr>
        <w:spacing w:after="40"/>
      </w:pPr>
    </w:p>
    <w:p>
      <w:pPr>
        <w:spacing w:before="160" w:after="120"/>
      </w:pPr>
      <w:r>
        <w:rPr>
          <w:rFonts w:ascii="Calibri" w:hAnsi="Calibri"/>
          <w:b w:val="0"/>
          <w:color w:val="111827"/>
          <w:sz w:val="21"/>
        </w:rPr>
        <w:t>Variables opcionales. Si se dejan como están, la aplicación arranca igual y esas funciones quedan desactivadas o toman su valor por omisión:</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fill="0B6B57"/>
          </w:tcPr>
          <w:p>
            <w:pPr>
              <w:spacing w:after="40"/>
            </w:pPr>
            <w:r>
              <w:rPr>
                <w:rFonts w:ascii="Calibri" w:hAnsi="Calibri"/>
                <w:b/>
                <w:color w:val="FFFFFF"/>
                <w:sz w:val="19"/>
              </w:rPr>
              <w:t>Variable</w:t>
            </w:r>
          </w:p>
        </w:tc>
        <w:tc>
          <w:tcPr>
            <w:tcW w:type="dxa" w:w="1928"/>
            <w:shd w:val="clear" w:fill="0B6B57"/>
          </w:tcPr>
          <w:p>
            <w:pPr>
              <w:spacing w:after="40"/>
            </w:pPr>
            <w:r>
              <w:rPr>
                <w:rFonts w:ascii="Calibri" w:hAnsi="Calibri"/>
                <w:b/>
                <w:color w:val="FFFFFF"/>
                <w:sz w:val="19"/>
              </w:rPr>
              <w:t>Valor por omisión</w:t>
            </w:r>
          </w:p>
        </w:tc>
        <w:tc>
          <w:tcPr>
            <w:tcW w:type="dxa" w:w="4649"/>
            <w:shd w:val="clear" w:fill="0B6B57"/>
          </w:tcPr>
          <w:p>
            <w:pPr>
              <w:spacing w:after="40"/>
            </w:pPr>
            <w:r>
              <w:rPr>
                <w:rFonts w:ascii="Calibri" w:hAnsi="Calibri"/>
                <w:b/>
                <w:color w:val="FFFFFF"/>
                <w:sz w:val="19"/>
              </w:rPr>
              <w:t>Efecto si no se configura</w:t>
            </w:r>
          </w:p>
        </w:tc>
      </w:tr>
      <w:tr>
        <w:tc>
          <w:tcPr>
            <w:tcW w:type="dxa" w:w="2608"/>
          </w:tcPr>
          <w:p>
            <w:pPr>
              <w:spacing w:after="40"/>
            </w:pPr>
            <w:r>
              <w:rPr>
                <w:rFonts w:ascii="Calibri" w:hAnsi="Calibri"/>
                <w:color w:val="111827"/>
                <w:sz w:val="19"/>
              </w:rPr>
              <w:t>JWT_EXPIRES_IN</w:t>
            </w:r>
          </w:p>
        </w:tc>
        <w:tc>
          <w:tcPr>
            <w:tcW w:type="dxa" w:w="1928"/>
          </w:tcPr>
          <w:p>
            <w:pPr>
              <w:spacing w:after="40"/>
            </w:pPr>
            <w:r>
              <w:rPr>
                <w:rFonts w:ascii="Calibri" w:hAnsi="Calibri"/>
                <w:color w:val="111827"/>
                <w:sz w:val="19"/>
              </w:rPr>
              <w:t>8h</w:t>
            </w:r>
          </w:p>
        </w:tc>
        <w:tc>
          <w:tcPr>
            <w:tcW w:type="dxa" w:w="4649"/>
          </w:tcPr>
          <w:p>
            <w:pPr>
              <w:spacing w:after="40"/>
            </w:pPr>
            <w:r>
              <w:rPr>
                <w:rFonts w:ascii="Calibri" w:hAnsi="Calibri"/>
                <w:color w:val="111827"/>
                <w:sz w:val="19"/>
              </w:rPr>
              <w:t>El token de sesión vence a las ocho horas de haberse emitido.</w:t>
            </w:r>
          </w:p>
        </w:tc>
      </w:tr>
      <w:tr>
        <w:tc>
          <w:tcPr>
            <w:tcW w:type="dxa" w:w="2608"/>
          </w:tcPr>
          <w:p>
            <w:pPr>
              <w:spacing w:after="40"/>
            </w:pPr>
            <w:r>
              <w:rPr>
                <w:rFonts w:ascii="Calibri" w:hAnsi="Calibri"/>
                <w:color w:val="111827"/>
                <w:sz w:val="19"/>
              </w:rPr>
              <w:t>PORT</w:t>
            </w:r>
          </w:p>
        </w:tc>
        <w:tc>
          <w:tcPr>
            <w:tcW w:type="dxa" w:w="1928"/>
          </w:tcPr>
          <w:p>
            <w:pPr>
              <w:spacing w:after="40"/>
            </w:pPr>
            <w:r>
              <w:rPr>
                <w:rFonts w:ascii="Calibri" w:hAnsi="Calibri"/>
                <w:color w:val="111827"/>
                <w:sz w:val="19"/>
              </w:rPr>
              <w:t>3001</w:t>
            </w:r>
          </w:p>
        </w:tc>
        <w:tc>
          <w:tcPr>
            <w:tcW w:type="dxa" w:w="4649"/>
          </w:tcPr>
          <w:p>
            <w:pPr>
              <w:spacing w:after="40"/>
            </w:pPr>
            <w:r>
              <w:rPr>
                <w:rFonts w:ascii="Calibri" w:hAnsi="Calibri"/>
                <w:color w:val="111827"/>
                <w:sz w:val="19"/>
              </w:rPr>
              <w:t>El servidor escucha en el puerto 3001.</w:t>
            </w:r>
          </w:p>
        </w:tc>
      </w:tr>
      <w:tr>
        <w:tc>
          <w:tcPr>
            <w:tcW w:type="dxa" w:w="2608"/>
          </w:tcPr>
          <w:p>
            <w:pPr>
              <w:spacing w:after="40"/>
            </w:pPr>
            <w:r>
              <w:rPr>
                <w:rFonts w:ascii="Calibri" w:hAnsi="Calibri"/>
                <w:color w:val="111827"/>
                <w:sz w:val="19"/>
              </w:rPr>
              <w:t>NODE_ENV</w:t>
            </w:r>
          </w:p>
        </w:tc>
        <w:tc>
          <w:tcPr>
            <w:tcW w:type="dxa" w:w="1928"/>
          </w:tcPr>
          <w:p>
            <w:pPr>
              <w:spacing w:after="40"/>
            </w:pPr>
            <w:r>
              <w:rPr>
                <w:rFonts w:ascii="Calibri" w:hAnsi="Calibri"/>
                <w:color w:val="111827"/>
                <w:sz w:val="19"/>
              </w:rPr>
              <w:t>development</w:t>
            </w:r>
          </w:p>
        </w:tc>
        <w:tc>
          <w:tcPr>
            <w:tcW w:type="dxa" w:w="4649"/>
          </w:tcPr>
          <w:p>
            <w:pPr>
              <w:spacing w:after="40"/>
            </w:pPr>
            <w:r>
              <w:rPr>
                <w:rFonts w:ascii="Calibri" w:hAnsi="Calibri"/>
                <w:color w:val="111827"/>
                <w:sz w:val="19"/>
              </w:rPr>
              <w:t>Modo de desarrollo. En producción se pone production.</w:t>
            </w:r>
          </w:p>
        </w:tc>
      </w:tr>
      <w:tr>
        <w:tc>
          <w:tcPr>
            <w:tcW w:type="dxa" w:w="2608"/>
          </w:tcPr>
          <w:p>
            <w:pPr>
              <w:spacing w:after="40"/>
            </w:pPr>
            <w:r>
              <w:rPr>
                <w:rFonts w:ascii="Calibri" w:hAnsi="Calibri"/>
                <w:color w:val="111827"/>
                <w:sz w:val="19"/>
              </w:rPr>
              <w:t>RECAPTCHA_SITE_KEY</w:t>
            </w:r>
          </w:p>
        </w:tc>
        <w:tc>
          <w:tcPr>
            <w:tcW w:type="dxa" w:w="1928"/>
          </w:tcPr>
          <w:p>
            <w:pPr>
              <w:spacing w:after="40"/>
            </w:pPr>
            <w:r>
              <w:rPr>
                <w:rFonts w:ascii="Calibri" w:hAnsi="Calibri"/>
                <w:color w:val="111827"/>
                <w:sz w:val="19"/>
              </w:rPr>
              <w:t>vacío</w:t>
            </w:r>
          </w:p>
        </w:tc>
        <w:tc>
          <w:tcPr>
            <w:tcW w:type="dxa" w:w="4649"/>
          </w:tcPr>
          <w:p>
            <w:pPr>
              <w:spacing w:after="40"/>
            </w:pPr>
            <w:r>
              <w:rPr>
                <w:rFonts w:ascii="Calibri" w:hAnsi="Calibri"/>
                <w:color w:val="111827"/>
                <w:sz w:val="19"/>
              </w:rPr>
              <w:t>Clave pública de Google reCAPTCHA. Es la única que puede viajar al navegador.</w:t>
            </w:r>
          </w:p>
        </w:tc>
      </w:tr>
      <w:tr>
        <w:tc>
          <w:tcPr>
            <w:tcW w:type="dxa" w:w="2608"/>
          </w:tcPr>
          <w:p>
            <w:pPr>
              <w:spacing w:after="40"/>
            </w:pPr>
            <w:r>
              <w:rPr>
                <w:rFonts w:ascii="Calibri" w:hAnsi="Calibri"/>
                <w:color w:val="111827"/>
                <w:sz w:val="19"/>
              </w:rPr>
              <w:t>RECAPTCHA_SECRET_KEY</w:t>
            </w:r>
          </w:p>
        </w:tc>
        <w:tc>
          <w:tcPr>
            <w:tcW w:type="dxa" w:w="1928"/>
          </w:tcPr>
          <w:p>
            <w:pPr>
              <w:spacing w:after="40"/>
            </w:pPr>
            <w:r>
              <w:rPr>
                <w:rFonts w:ascii="Calibri" w:hAnsi="Calibri"/>
                <w:color w:val="111827"/>
                <w:sz w:val="19"/>
              </w:rPr>
              <w:t>vacío</w:t>
            </w:r>
          </w:p>
        </w:tc>
        <w:tc>
          <w:tcPr>
            <w:tcW w:type="dxa" w:w="4649"/>
          </w:tcPr>
          <w:p>
            <w:pPr>
              <w:spacing w:after="40"/>
            </w:pPr>
            <w:r>
              <w:rPr>
                <w:rFonts w:ascii="Calibri" w:hAnsi="Calibri"/>
                <w:color w:val="111827"/>
                <w:sz w:val="19"/>
              </w:rPr>
              <w:t>Clave privada de Google reCAPTCHA. Sin ella el servidor no puede validar la verificación anti-automatización.</w:t>
            </w:r>
          </w:p>
        </w:tc>
      </w:tr>
      <w:tr>
        <w:tc>
          <w:tcPr>
            <w:tcW w:type="dxa" w:w="2608"/>
          </w:tcPr>
          <w:p>
            <w:pPr>
              <w:spacing w:after="40"/>
            </w:pPr>
            <w:r>
              <w:rPr>
                <w:rFonts w:ascii="Calibri" w:hAnsi="Calibri"/>
                <w:color w:val="111827"/>
                <w:sz w:val="19"/>
              </w:rPr>
              <w:t>SMTP_HOST</w:t>
            </w:r>
          </w:p>
        </w:tc>
        <w:tc>
          <w:tcPr>
            <w:tcW w:type="dxa" w:w="1928"/>
          </w:tcPr>
          <w:p>
            <w:pPr>
              <w:spacing w:after="40"/>
            </w:pPr>
            <w:r>
              <w:rPr>
                <w:rFonts w:ascii="Calibri" w:hAnsi="Calibri"/>
                <w:color w:val="111827"/>
                <w:sz w:val="19"/>
              </w:rPr>
              <w:t>vacío</w:t>
            </w:r>
          </w:p>
        </w:tc>
        <w:tc>
          <w:tcPr>
            <w:tcW w:type="dxa" w:w="4649"/>
          </w:tcPr>
          <w:p>
            <w:pPr>
              <w:spacing w:after="40"/>
            </w:pPr>
            <w:r>
              <w:rPr>
                <w:rFonts w:ascii="Calibri" w:hAnsi="Calibri"/>
                <w:color w:val="111827"/>
                <w:sz w:val="19"/>
              </w:rPr>
              <w:t>OJO: sin esta variable el sistema usa una cuenta de prueba de Ethereal y los correos NO llegan al destinatario.</w:t>
            </w:r>
          </w:p>
        </w:tc>
      </w:tr>
      <w:tr>
        <w:tc>
          <w:tcPr>
            <w:tcW w:type="dxa" w:w="2608"/>
          </w:tcPr>
          <w:p>
            <w:pPr>
              <w:spacing w:after="40"/>
            </w:pPr>
            <w:r>
              <w:rPr>
                <w:rFonts w:ascii="Calibri" w:hAnsi="Calibri"/>
                <w:color w:val="111827"/>
                <w:sz w:val="19"/>
              </w:rPr>
              <w:t>SMTP_PORT</w:t>
            </w:r>
          </w:p>
        </w:tc>
        <w:tc>
          <w:tcPr>
            <w:tcW w:type="dxa" w:w="1928"/>
          </w:tcPr>
          <w:p>
            <w:pPr>
              <w:spacing w:after="40"/>
            </w:pPr>
            <w:r>
              <w:rPr>
                <w:rFonts w:ascii="Calibri" w:hAnsi="Calibri"/>
                <w:color w:val="111827"/>
                <w:sz w:val="19"/>
              </w:rPr>
              <w:t>—</w:t>
            </w:r>
          </w:p>
        </w:tc>
        <w:tc>
          <w:tcPr>
            <w:tcW w:type="dxa" w:w="4649"/>
          </w:tcPr>
          <w:p>
            <w:pPr>
              <w:spacing w:after="40"/>
            </w:pPr>
            <w:r>
              <w:rPr>
                <w:rFonts w:ascii="Calibri" w:hAnsi="Calibri"/>
                <w:color w:val="111827"/>
                <w:sz w:val="19"/>
              </w:rPr>
              <w:t>Puerto del proveedor de correo. Solo se usa cuando SMTP_HOST está definida.</w:t>
            </w:r>
          </w:p>
        </w:tc>
      </w:tr>
      <w:tr>
        <w:tc>
          <w:tcPr>
            <w:tcW w:type="dxa" w:w="2608"/>
          </w:tcPr>
          <w:p>
            <w:pPr>
              <w:spacing w:after="40"/>
            </w:pPr>
            <w:r>
              <w:rPr>
                <w:rFonts w:ascii="Calibri" w:hAnsi="Calibri"/>
                <w:color w:val="111827"/>
                <w:sz w:val="19"/>
              </w:rPr>
              <w:t>SMTP_SECURE</w:t>
            </w:r>
          </w:p>
        </w:tc>
        <w:tc>
          <w:tcPr>
            <w:tcW w:type="dxa" w:w="1928"/>
          </w:tcPr>
          <w:p>
            <w:pPr>
              <w:spacing w:after="40"/>
            </w:pPr>
            <w:r>
              <w:rPr>
                <w:rFonts w:ascii="Calibri" w:hAnsi="Calibri"/>
                <w:color w:val="111827"/>
                <w:sz w:val="19"/>
              </w:rPr>
              <w:t>—</w:t>
            </w:r>
          </w:p>
        </w:tc>
        <w:tc>
          <w:tcPr>
            <w:tcW w:type="dxa" w:w="4649"/>
          </w:tcPr>
          <w:p>
            <w:pPr>
              <w:spacing w:after="40"/>
            </w:pPr>
            <w:r>
              <w:rPr>
                <w:rFonts w:ascii="Calibri" w:hAnsi="Calibri"/>
                <w:color w:val="111827"/>
                <w:sz w:val="19"/>
              </w:rPr>
              <w:t>Indica si la conexión con el proveedor va cifrada desde el inicio.</w:t>
            </w:r>
          </w:p>
        </w:tc>
      </w:tr>
      <w:tr>
        <w:tc>
          <w:tcPr>
            <w:tcW w:type="dxa" w:w="2608"/>
          </w:tcPr>
          <w:p>
            <w:pPr>
              <w:spacing w:after="40"/>
            </w:pPr>
            <w:r>
              <w:rPr>
                <w:rFonts w:ascii="Calibri" w:hAnsi="Calibri"/>
                <w:color w:val="111827"/>
                <w:sz w:val="19"/>
              </w:rPr>
              <w:t>SMTP_USER</w:t>
            </w:r>
          </w:p>
        </w:tc>
        <w:tc>
          <w:tcPr>
            <w:tcW w:type="dxa" w:w="1928"/>
          </w:tcPr>
          <w:p>
            <w:pPr>
              <w:spacing w:after="40"/>
            </w:pPr>
            <w:r>
              <w:rPr>
                <w:rFonts w:ascii="Calibri" w:hAnsi="Calibri"/>
                <w:color w:val="111827"/>
                <w:sz w:val="19"/>
              </w:rPr>
              <w:t>vacío</w:t>
            </w:r>
          </w:p>
        </w:tc>
        <w:tc>
          <w:tcPr>
            <w:tcW w:type="dxa" w:w="4649"/>
          </w:tcPr>
          <w:p>
            <w:pPr>
              <w:spacing w:after="40"/>
            </w:pPr>
            <w:r>
              <w:rPr>
                <w:rFonts w:ascii="Calibri" w:hAnsi="Calibri"/>
                <w:color w:val="111827"/>
                <w:sz w:val="19"/>
              </w:rPr>
              <w:t>Usuario de la cuenta del proveedor de correo saliente.</w:t>
            </w:r>
          </w:p>
        </w:tc>
      </w:tr>
      <w:tr>
        <w:tc>
          <w:tcPr>
            <w:tcW w:type="dxa" w:w="2608"/>
          </w:tcPr>
          <w:p>
            <w:pPr>
              <w:spacing w:after="40"/>
            </w:pPr>
            <w:r>
              <w:rPr>
                <w:rFonts w:ascii="Calibri" w:hAnsi="Calibri"/>
                <w:color w:val="111827"/>
                <w:sz w:val="19"/>
              </w:rPr>
              <w:t>SMTP_PASS</w:t>
            </w:r>
          </w:p>
        </w:tc>
        <w:tc>
          <w:tcPr>
            <w:tcW w:type="dxa" w:w="1928"/>
          </w:tcPr>
          <w:p>
            <w:pPr>
              <w:spacing w:after="40"/>
            </w:pPr>
            <w:r>
              <w:rPr>
                <w:rFonts w:ascii="Calibri" w:hAnsi="Calibri"/>
                <w:color w:val="111827"/>
                <w:sz w:val="19"/>
              </w:rPr>
              <w:t>vacío</w:t>
            </w:r>
          </w:p>
        </w:tc>
        <w:tc>
          <w:tcPr>
            <w:tcW w:type="dxa" w:w="4649"/>
          </w:tcPr>
          <w:p>
            <w:pPr>
              <w:spacing w:after="40"/>
            </w:pPr>
            <w:r>
              <w:rPr>
                <w:rFonts w:ascii="Calibri" w:hAnsi="Calibri"/>
                <w:color w:val="111827"/>
                <w:sz w:val="19"/>
              </w:rPr>
              <w:t>Contraseña de esa cuenta. Nunca se versiona.</w:t>
            </w:r>
          </w:p>
        </w:tc>
      </w:tr>
      <w:tr>
        <w:tc>
          <w:tcPr>
            <w:tcW w:type="dxa" w:w="2608"/>
          </w:tcPr>
          <w:p>
            <w:pPr>
              <w:spacing w:after="40"/>
            </w:pPr>
            <w:r>
              <w:rPr>
                <w:rFonts w:ascii="Calibri" w:hAnsi="Calibri"/>
                <w:color w:val="111827"/>
                <w:sz w:val="19"/>
              </w:rPr>
              <w:t>SMTP_FROM</w:t>
            </w:r>
          </w:p>
        </w:tc>
        <w:tc>
          <w:tcPr>
            <w:tcW w:type="dxa" w:w="1928"/>
          </w:tcPr>
          <w:p>
            <w:pPr>
              <w:spacing w:after="40"/>
            </w:pPr>
            <w:r>
              <w:rPr>
                <w:rFonts w:ascii="Calibri" w:hAnsi="Calibri"/>
                <w:color w:val="111827"/>
                <w:sz w:val="19"/>
              </w:rPr>
              <w:t>vacío</w:t>
            </w:r>
          </w:p>
        </w:tc>
        <w:tc>
          <w:tcPr>
            <w:tcW w:type="dxa" w:w="4649"/>
          </w:tcPr>
          <w:p>
            <w:pPr>
              <w:spacing w:after="40"/>
            </w:pPr>
            <w:r>
              <w:rPr>
                <w:rFonts w:ascii="Calibri" w:hAnsi="Calibri"/>
                <w:color w:val="111827"/>
                <w:sz w:val="19"/>
              </w:rPr>
              <w:t>Dirección que figura como remitente de los correos del sistema.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Sin SMTP_HOST los correos no salen del equipo</w:t>
            </w:r>
            <w:r>
              <w:rPr>
                <w:rFonts w:ascii="Calibri" w:hAnsi="Calibri"/>
                <w:color w:val="374151"/>
                <w:sz w:val="20"/>
              </w:rPr>
            </w:r>
          </w:p>
          <w:p>
            <w:r>
              <w:rPr>
                <w:rFonts w:ascii="Calibri" w:hAnsi="Calibri"/>
                <w:b/>
                <w:color w:val="0B6B57"/>
                <w:sz w:val="21"/>
              </w:rPr>
              <w:t>Cuando la variable no está definida, el sistema levanta una cuenta de prueba de Ethereal: el correo se «envía», pero nunca llega a la bandeja del destinatario. El enlace de activación o de restablecimiento queda impreso en la consola del servidor y desde ahí se puede copiar y usar. Sirve para desarrollar, no para demostrar. Para la sustentación hay que configurar un proveedor real; se recomienda Brevo, que permite 300 correos diarios gratis y no exige tener dominio propio.</w:t>
            </w:r>
            <w:r>
              <w:rPr>
                <w:rFonts w:ascii="Calibri" w:hAnsi="Calibri"/>
                <w:color w:val="374151"/>
                <w:sz w:val="20"/>
              </w:rPr>
            </w:r>
          </w:p>
        </w:tc>
      </w:tr>
    </w:tbl>
    <w:p>
      <w:pPr>
        <w:spacing w:after="40"/>
      </w:pPr>
    </w:p>
    <w:p>
      <w:pPr>
        <w:spacing w:before="240" w:after="80"/>
      </w:pPr>
      <w:r>
        <w:rPr>
          <w:rFonts w:ascii="Calibri" w:hAnsi="Calibri"/>
          <w:b/>
          <w:color w:val="0B6B57"/>
          <w:sz w:val="24"/>
        </w:rPr>
        <w:t>3.4  Generar la clave de firma de tokens</w:t>
      </w:r>
    </w:p>
    <w:p>
      <w:pPr>
        <w:spacing w:before="0" w:after="120"/>
      </w:pPr>
      <w:r>
        <w:rPr>
          <w:rFonts w:ascii="Calibri" w:hAnsi="Calibri"/>
          <w:b w:val="0"/>
          <w:color w:val="111827"/>
          <w:sz w:val="21"/>
        </w:rPr>
        <w:t>Debe ser aleatoria y larga; conviene que tenga al menos 32 caracteres. No se comparte entre integrantes y no se versiona nunca.</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 Linux, macOS o Git Bash</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openssl rand -base64 48</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PowerShell</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[Convert]::ToBase64String((1..48 | ForEach-Object {Get-Random -Max 256}))</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Cambiar esta clave invalida todas las sesiones abiertas</w:t>
            </w:r>
            <w:r>
              <w:rPr>
                <w:rFonts w:ascii="Calibri" w:hAnsi="Calibri"/>
                <w:color w:val="374151"/>
                <w:sz w:val="20"/>
              </w:rPr>
            </w:r>
          </w:p>
          <w:p>
            <w:r>
              <w:rPr>
                <w:rFonts w:ascii="Calibri" w:hAnsi="Calibri"/>
                <w:b/>
                <w:color w:val="0B6B57"/>
                <w:sz w:val="21"/>
              </w:rPr>
              <w:t>Los tokens ya emitidos dejan de validar y cada persona tendrá que iniciar sesión otra vez. No se pierde ningún dato.</w:t>
            </w:r>
            <w:r>
              <w:rPr>
                <w:rFonts w:ascii="Calibri" w:hAnsi="Calibri"/>
                <w:color w:val="374151"/>
                <w:sz w:val="20"/>
              </w:rPr>
            </w:r>
          </w:p>
        </w:tc>
      </w:tr>
    </w:tbl>
    <w:p>
      <w:pPr>
        <w:spacing w:after="40"/>
      </w:pPr>
    </w:p>
    <w:p>
      <w:pPr>
        <w:spacing w:before="240" w:after="80"/>
      </w:pPr>
      <w:r>
        <w:rPr>
          <w:rFonts w:ascii="Calibri" w:hAnsi="Calibri"/>
          <w:b/>
          <w:color w:val="0B6B57"/>
          <w:sz w:val="24"/>
        </w:rPr>
        <w:t>3.5  Configurar el cliente web</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cd frontend</w:t>
            </w:r>
            <w:r>
              <w:rPr>
                <w:rFonts w:ascii="Consolas" w:hAnsi="Consolas"/>
                <w:color w:val="DCF2EC"/>
                <w:sz w:val="17"/>
              </w:rPr>
            </w:r>
          </w:p>
          <w:p>
            <w:pPr>
              <w:spacing w:after="0"/>
            </w:pPr>
            <w:r>
              <w:rPr>
                <w:rFonts w:ascii="Consolas" w:hAnsi="Consolas"/>
                <w:color w:val="DCF2EC"/>
                <w:sz w:val="17"/>
              </w:rPr>
              <w:t># crear el archivo .env con una sola linea:</w:t>
            </w:r>
            <w:r>
              <w:rPr>
                <w:rFonts w:ascii="Consolas" w:hAnsi="Consolas"/>
                <w:color w:val="DCF2EC"/>
                <w:sz w:val="17"/>
              </w:rPr>
            </w:r>
          </w:p>
          <w:p>
            <w:pPr>
              <w:spacing w:after="0"/>
            </w:pPr>
            <w:r>
              <w:rPr>
                <w:rFonts w:ascii="Consolas" w:hAnsi="Consolas"/>
                <w:color w:val="DCF2EC"/>
                <w:sz w:val="17"/>
              </w:rPr>
              <w:t>VITE_API_URL=http://localhost:3001</w:t>
            </w:r>
            <w:r>
              <w:rPr>
                <w:rFonts w:ascii="Consolas" w:hAnsi="Consolas"/>
                <w:color w:val="DCF2EC"/>
                <w:sz w:val="17"/>
              </w:rPr>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Variable</w:t>
            </w:r>
          </w:p>
        </w:tc>
        <w:tc>
          <w:tcPr>
            <w:tcW w:type="dxa" w:w="3061"/>
            <w:shd w:val="clear" w:fill="0B6B57"/>
          </w:tcPr>
          <w:p>
            <w:pPr>
              <w:spacing w:after="40"/>
            </w:pPr>
            <w:r>
              <w:rPr>
                <w:rFonts w:ascii="Calibri" w:hAnsi="Calibri"/>
                <w:b/>
                <w:color w:val="FFFFFF"/>
                <w:sz w:val="19"/>
              </w:rPr>
              <w:t>Valor en desarrollo</w:t>
            </w:r>
          </w:p>
        </w:tc>
        <w:tc>
          <w:tcPr>
            <w:tcW w:type="dxa" w:w="3288"/>
            <w:shd w:val="clear" w:fill="0B6B57"/>
          </w:tcPr>
          <w:p>
            <w:pPr>
              <w:spacing w:after="40"/>
            </w:pPr>
            <w:r>
              <w:rPr>
                <w:rFonts w:ascii="Calibri" w:hAnsi="Calibri"/>
                <w:b/>
                <w:color w:val="FFFFFF"/>
                <w:sz w:val="19"/>
              </w:rPr>
              <w:t>Nota</w:t>
            </w:r>
          </w:p>
        </w:tc>
      </w:tr>
      <w:tr>
        <w:tc>
          <w:tcPr>
            <w:tcW w:type="dxa" w:w="2835"/>
          </w:tcPr>
          <w:p>
            <w:pPr>
              <w:spacing w:after="40"/>
            </w:pPr>
            <w:r>
              <w:rPr>
                <w:rFonts w:ascii="Calibri" w:hAnsi="Calibri"/>
                <w:color w:val="111827"/>
                <w:sz w:val="19"/>
              </w:rPr>
              <w:t>VITE_API_URL</w:t>
            </w:r>
          </w:p>
        </w:tc>
        <w:tc>
          <w:tcPr>
            <w:tcW w:type="dxa" w:w="3061"/>
          </w:tcPr>
          <w:p>
            <w:pPr>
              <w:spacing w:after="40"/>
            </w:pPr>
            <w:r>
              <w:rPr>
                <w:rFonts w:ascii="Calibri" w:hAnsi="Calibri"/>
                <w:color w:val="111827"/>
                <w:sz w:val="19"/>
              </w:rPr>
              <w:t>http://localhost:3001</w:t>
            </w:r>
          </w:p>
        </w:tc>
        <w:tc>
          <w:tcPr>
            <w:tcW w:type="dxa" w:w="3288"/>
          </w:tcPr>
          <w:p>
            <w:pPr>
              <w:spacing w:after="40"/>
            </w:pPr>
            <w:r>
              <w:rPr>
                <w:rFonts w:ascii="Calibri" w:hAnsi="Calibri"/>
                <w:color w:val="111827"/>
                <w:sz w:val="19"/>
              </w:rPr>
              <w:t>Dirección del servidor. Debe coincidir con el puerto declarado en PORT. Las variables VITE_ se leen al arrancar Vite: si se cambia, hay que reiniciarlo.</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E2E2"/>
          </w:tcPr>
          <w:p>
            <w:r>
              <w:rPr>
                <w:rFonts w:ascii="Calibri" w:hAnsi="Calibri"/>
                <w:b/>
                <w:color w:val="B91C1C"/>
                <w:sz w:val="21"/>
              </w:rPr>
              <w:t>La clave secreta del reCAPTCHA nunca sale del servidor</w:t>
            </w:r>
            <w:r>
              <w:rPr>
                <w:rFonts w:ascii="Calibri" w:hAnsi="Calibri"/>
                <w:color w:val="374151"/>
                <w:sz w:val="20"/>
              </w:rPr>
            </w:r>
          </w:p>
          <w:p>
            <w:r>
              <w:rPr>
                <w:rFonts w:ascii="Calibri" w:hAnsi="Calibri"/>
                <w:b/>
                <w:color w:val="B91C1C"/>
                <w:sz w:val="21"/>
              </w:rPr>
              <w:t>Cualquier persona puede leer el código que se ejecuta en el navegador. Por eso RECAPTCHA_SECRET_KEY vive solo en el .env del servidor, que es quien valida el token contra Google. La única clave que puede llegar al navegador es la pública.</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4. Migraciones de base de datos</w:t>
      </w:r>
    </w:p>
    <w:p>
      <w:pPr>
        <w:spacing w:before="0" w:after="120"/>
      </w:pPr>
      <w:r>
        <w:rPr>
          <w:rFonts w:ascii="Calibri" w:hAnsi="Calibri"/>
          <w:b w:val="0"/>
          <w:color w:val="111827"/>
          <w:sz w:val="21"/>
        </w:rPr>
        <w:t>El esquema lo construye Prisma a partir del archivo /prisma/schema.prisma y de las migraciones versionadas en /prisma/migrations. Ningún componente altera las tablas por su cuenta: lo que no esté en una migración, no existe en la base.</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Comando</w:t>
            </w:r>
          </w:p>
        </w:tc>
        <w:tc>
          <w:tcPr>
            <w:tcW w:type="dxa" w:w="6123"/>
            <w:shd w:val="clear" w:fill="0B6B57"/>
          </w:tcPr>
          <w:p>
            <w:pPr>
              <w:spacing w:after="40"/>
            </w:pPr>
            <w:r>
              <w:rPr>
                <w:rFonts w:ascii="Calibri" w:hAnsi="Calibri"/>
                <w:b/>
                <w:color w:val="FFFFFF"/>
                <w:sz w:val="19"/>
              </w:rPr>
              <w:t>Qué hace</w:t>
            </w:r>
          </w:p>
        </w:tc>
      </w:tr>
      <w:tr>
        <w:tc>
          <w:tcPr>
            <w:tcW w:type="dxa" w:w="3061"/>
          </w:tcPr>
          <w:p>
            <w:pPr>
              <w:spacing w:after="40"/>
            </w:pPr>
            <w:r>
              <w:rPr>
                <w:rFonts w:ascii="Calibri" w:hAnsi="Calibri"/>
                <w:color w:val="111827"/>
                <w:sz w:val="19"/>
              </w:rPr>
              <w:t>npx prisma generate</w:t>
            </w:r>
          </w:p>
        </w:tc>
        <w:tc>
          <w:tcPr>
            <w:tcW w:type="dxa" w:w="6123"/>
          </w:tcPr>
          <w:p>
            <w:pPr>
              <w:spacing w:after="40"/>
            </w:pPr>
            <w:r>
              <w:rPr>
                <w:rFonts w:ascii="Calibri" w:hAnsi="Calibri"/>
                <w:color w:val="111827"/>
                <w:sz w:val="19"/>
              </w:rPr>
              <w:t>Genera el cliente de Prisma a partir del esquema. Hay que ejecutarlo después de instalar dependencias y después de cada cambio en schema.prisma.</w:t>
            </w:r>
          </w:p>
        </w:tc>
      </w:tr>
      <w:tr>
        <w:tc>
          <w:tcPr>
            <w:tcW w:type="dxa" w:w="3061"/>
          </w:tcPr>
          <w:p>
            <w:pPr>
              <w:spacing w:after="40"/>
            </w:pPr>
            <w:r>
              <w:rPr>
                <w:rFonts w:ascii="Calibri" w:hAnsi="Calibri"/>
                <w:color w:val="111827"/>
                <w:sz w:val="19"/>
              </w:rPr>
              <w:t>npx prisma migrate dev</w:t>
            </w:r>
          </w:p>
        </w:tc>
        <w:tc>
          <w:tcPr>
            <w:tcW w:type="dxa" w:w="6123"/>
          </w:tcPr>
          <w:p>
            <w:pPr>
              <w:spacing w:after="40"/>
            </w:pPr>
            <w:r>
              <w:rPr>
                <w:rFonts w:ascii="Calibri" w:hAnsi="Calibri"/>
                <w:color w:val="111827"/>
                <w:sz w:val="19"/>
              </w:rPr>
              <w:t>Aplica las migraciones pendientes y crea una nueva si el esquema cambió. Es el comando de desarrollo.</w:t>
            </w:r>
          </w:p>
        </w:tc>
      </w:tr>
      <w:tr>
        <w:tc>
          <w:tcPr>
            <w:tcW w:type="dxa" w:w="3061"/>
          </w:tcPr>
          <w:p>
            <w:pPr>
              <w:spacing w:after="40"/>
            </w:pPr>
            <w:r>
              <w:rPr>
                <w:rFonts w:ascii="Calibri" w:hAnsi="Calibri"/>
                <w:color w:val="111827"/>
                <w:sz w:val="19"/>
              </w:rPr>
              <w:t>npx prisma migrate status</w:t>
            </w:r>
          </w:p>
        </w:tc>
        <w:tc>
          <w:tcPr>
            <w:tcW w:type="dxa" w:w="6123"/>
          </w:tcPr>
          <w:p>
            <w:pPr>
              <w:spacing w:after="40"/>
            </w:pPr>
            <w:r>
              <w:rPr>
                <w:rFonts w:ascii="Calibri" w:hAnsi="Calibri"/>
                <w:color w:val="111827"/>
                <w:sz w:val="19"/>
              </w:rPr>
              <w:t>Informa qué migraciones están aplicadas y cuáles faltan. Es la comprobación previa a cualquier entrega.</w:t>
            </w:r>
          </w:p>
        </w:tc>
      </w:tr>
      <w:tr>
        <w:tc>
          <w:tcPr>
            <w:tcW w:type="dxa" w:w="3061"/>
          </w:tcPr>
          <w:p>
            <w:pPr>
              <w:spacing w:after="40"/>
            </w:pPr>
            <w:r>
              <w:rPr>
                <w:rFonts w:ascii="Calibri" w:hAnsi="Calibri"/>
                <w:color w:val="111827"/>
                <w:sz w:val="19"/>
              </w:rPr>
              <w:t>npx prisma migrate deploy</w:t>
            </w:r>
          </w:p>
        </w:tc>
        <w:tc>
          <w:tcPr>
            <w:tcW w:type="dxa" w:w="6123"/>
          </w:tcPr>
          <w:p>
            <w:pPr>
              <w:spacing w:after="40"/>
            </w:pPr>
            <w:r>
              <w:rPr>
                <w:rFonts w:ascii="Calibri" w:hAnsi="Calibri"/>
                <w:color w:val="111827"/>
                <w:sz w:val="19"/>
              </w:rPr>
              <w:t>Aplica las migraciones sin crear ninguna nueva. Es el comando de producción.</w:t>
            </w:r>
          </w:p>
        </w:tc>
      </w:tr>
      <w:tr>
        <w:tc>
          <w:tcPr>
            <w:tcW w:type="dxa" w:w="3061"/>
          </w:tcPr>
          <w:p>
            <w:pPr>
              <w:spacing w:after="40"/>
            </w:pPr>
            <w:r>
              <w:rPr>
                <w:rFonts w:ascii="Calibri" w:hAnsi="Calibri"/>
                <w:color w:val="111827"/>
                <w:sz w:val="19"/>
              </w:rPr>
              <w:t>npm run db:seed</w:t>
            </w:r>
          </w:p>
        </w:tc>
        <w:tc>
          <w:tcPr>
            <w:tcW w:type="dxa" w:w="6123"/>
          </w:tcPr>
          <w:p>
            <w:pPr>
              <w:spacing w:after="40"/>
            </w:pPr>
            <w:r>
              <w:rPr>
                <w:rFonts w:ascii="Calibri" w:hAnsi="Calibri"/>
                <w:color w:val="111827"/>
                <w:sz w:val="19"/>
              </w:rPr>
              <w:t>Carga los datos de demostración. Es idempotente: puede ejecutarse varias veces sin duplicar nada.</w:t>
            </w:r>
          </w:p>
        </w:tc>
      </w:tr>
    </w:tbl>
    <w:p>
      <w:pPr>
        <w:spacing w:after="40"/>
      </w:pPr>
    </w:p>
    <w:p>
      <w:pPr>
        <w:spacing w:before="240" w:after="80"/>
      </w:pPr>
      <w:r>
        <w:rPr>
          <w:rFonts w:ascii="Calibri" w:hAnsi="Calibri"/>
          <w:b/>
          <w:color w:val="0B6B57"/>
          <w:sz w:val="24"/>
        </w:rPr>
        <w:t>4.1  Reglas al escribir una migración</w:t>
      </w:r>
    </w:p>
    <w:p>
      <w:pPr>
        <w:pStyle w:val="ListBullet"/>
        <w:spacing w:after="60"/>
        <w:ind w:left="454"/>
      </w:pPr>
      <w:r>
        <w:rPr>
          <w:rFonts w:ascii="Calibri" w:hAnsi="Calibri"/>
          <w:sz w:val="21"/>
        </w:rPr>
        <w:t>Una migración ya aplicada NUNCA se edita. Prisma guarda una suma de verificación de cada archivo y, si cambia, se niega a continuar. Para corregir algo se crea la migración siguiente.</w:t>
      </w:r>
    </w:p>
    <w:p>
      <w:pPr>
        <w:pStyle w:val="ListBullet"/>
        <w:spacing w:after="60"/>
        <w:ind w:left="454"/>
      </w:pPr>
      <w:r>
        <w:rPr>
          <w:rFonts w:ascii="Calibri" w:hAnsi="Calibri"/>
          <w:sz w:val="21"/>
        </w:rPr>
        <w:t>La base de datos es compartida: antes de crear una migración hay que avisar al equipo, porque se aplica sobre la misma base en la que están trabajando los otros dos.</w:t>
      </w:r>
    </w:p>
    <w:p>
      <w:pPr>
        <w:pStyle w:val="ListBullet"/>
        <w:spacing w:after="60"/>
        <w:ind w:left="454"/>
      </w:pPr>
      <w:r>
        <w:rPr>
          <w:rFonts w:ascii="Calibri" w:hAnsi="Calibri"/>
          <w:sz w:val="21"/>
        </w:rPr>
        <w:t>El nombre describe el cambio en pocas palabras y en minúsculas: es lo que queda en el historial de /prisma/migrations y lo que otro integrante va a leer dentro de un mes.</w:t>
      </w:r>
    </w:p>
    <w:p>
      <w:pPr>
        <w:pStyle w:val="ListBullet"/>
        <w:spacing w:after="60"/>
        <w:ind w:left="454"/>
      </w:pPr>
      <w:r>
        <w:rPr>
          <w:rFonts w:ascii="Calibri" w:hAnsi="Calibri"/>
          <w:sz w:val="21"/>
        </w:rPr>
        <w:t>Después de cambiar el esquema hay que ejecutar npx prisma generate. Sin eso el cliente sigue tipado contra el esquema anterior y el servidor falla en una línea que nadie tocó.</w:t>
      </w:r>
    </w:p>
    <w:p>
      <w:pPr>
        <w:pStyle w:val="ListBullet"/>
        <w:spacing w:after="60"/>
        <w:ind w:left="454"/>
      </w:pPr>
      <w:r>
        <w:rPr>
          <w:rFonts w:ascii="Calibri" w:hAnsi="Calibri"/>
          <w:sz w:val="21"/>
        </w:rPr>
        <w:t>Los datos de demostración no se cargan desde una migración sino desde la semilla (npm run db:seed), que es idempotente y puede repetirse sin ensuciar la base.</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Nunca aceptar el reinicio que ofrece Prisma</w:t>
            </w:r>
            <w:r>
              <w:rPr>
                <w:rFonts w:ascii="Calibri" w:hAnsi="Calibri"/>
                <w:color w:val="374151"/>
                <w:sz w:val="20"/>
              </w:rPr>
            </w:r>
          </w:p>
          <w:p>
            <w:r>
              <w:rPr>
                <w:rFonts w:ascii="Calibri" w:hAnsi="Calibri"/>
                <w:b/>
                <w:color w:val="0B6B57"/>
                <w:sz w:val="21"/>
              </w:rPr>
              <w:t>Al ejecutar npx prisma migrate dev, si Prisma detecta una diferencia puede ofrecer hacer un reset de la base de datos. Hay que rechazarlo siempre. La base es la misma para los tres integrantes y un reinicio borraría los datos de todos, no solo los propios. Si Prisma insiste, lo correcto es detenerse y hablar con el líder técnico antes de continuar.</w:t>
            </w:r>
            <w:r>
              <w:rPr>
                <w:rFonts w:ascii="Calibri" w:hAnsi="Calibri"/>
                <w:color w:val="374151"/>
                <w:sz w:val="20"/>
              </w:rPr>
            </w:r>
          </w:p>
        </w:tc>
      </w:tr>
    </w:tbl>
    <w:p>
      <w:pPr>
        <w:spacing w:after="40"/>
      </w:pPr>
    </w:p>
    <w:p>
      <w:pPr>
        <w:spacing w:before="240" w:after="80"/>
      </w:pPr>
      <w:r>
        <w:rPr>
          <w:rFonts w:ascii="Calibri" w:hAnsi="Calibri"/>
          <w:b/>
          <w:color w:val="0B6B57"/>
          <w:sz w:val="24"/>
        </w:rPr>
        <w:t>4.2  Consultar el estado del esquema</w:t>
      </w:r>
    </w:p>
    <w:p>
      <w:pPr>
        <w:spacing w:before="0" w:after="120"/>
      </w:pPr>
      <w:r>
        <w:rPr>
          <w:rFonts w:ascii="Calibri" w:hAnsi="Calibri"/>
          <w:b w:val="0"/>
          <w:color w:val="111827"/>
          <w:sz w:val="21"/>
        </w:rPr>
        <w:t>Desde la raíz del proyecto:</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npx prisma migrate status</w:t>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Debe indicar que no hay migraciones pendientes. Para inspeccionar los datos sin escribir una sola línea de SQL:</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npx prisma studio    # abre un navegador de la base en http://localhost:5555</w:t>
            </w:r>
            <w:r>
              <w:rPr>
                <w:rFonts w:ascii="Consolas" w:hAnsi="Consolas"/>
                <w:color w:val="DCF2EC"/>
                <w:sz w:val="17"/>
              </w:rPr>
            </w:r>
          </w:p>
        </w:tc>
      </w:tr>
    </w:tbl>
    <w:p>
      <w:pPr>
        <w:spacing w:after="40"/>
      </w:pPr>
    </w:p>
    <w:p>
      <w:r>
        <w:br w:type="page"/>
      </w:r>
    </w:p>
    <w:p>
      <w:pPr>
        <w:spacing w:before="360" w:after="160"/>
        <w:pBdr>
          <w:bottom w:val="single" w:sz="6" w:color="0B6B57"/>
        </w:pBdr>
      </w:pPr>
      <w:r>
        <w:rPr>
          <w:rFonts w:ascii="Calibri" w:hAnsi="Calibri"/>
          <w:b/>
          <w:color w:val="0A5647"/>
          <w:sz w:val="30"/>
        </w:rPr>
        <w:t>5. Ejecución</w:t>
      </w:r>
    </w:p>
    <w:p>
      <w:pPr>
        <w:spacing w:before="0" w:after="120"/>
      </w:pPr>
      <w:r>
        <w:rPr>
          <w:rFonts w:ascii="Calibri" w:hAnsi="Calibri"/>
          <w:b w:val="0"/>
          <w:color w:val="111827"/>
          <w:sz w:val="21"/>
        </w:rPr>
        <w:t>Se necesitan dos terminales, una por pieza, y las dos deben quedar abiertas.</w:t>
      </w:r>
    </w:p>
    <w:p>
      <w:pPr>
        <w:spacing w:before="240" w:after="80"/>
      </w:pPr>
      <w:r>
        <w:rPr>
          <w:rFonts w:ascii="Calibri" w:hAnsi="Calibri"/>
          <w:b/>
          <w:color w:val="0B6B57"/>
          <w:sz w:val="24"/>
        </w:rPr>
        <w:t>5.1  Servidor</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npm install</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npx prisma generate</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npx prisma migrate dev      # sin aceptar el reinicio de la base</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npm run db:seed</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npm run dev</w:t>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La instalación de dependencias tarda unos minutos la primera vez. El arranque termina cuando la consola indica el puerto en escucha. Para confirmarlo desde otra terminal:</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curl http://localhost:3001/api/health</w:t>
            </w:r>
          </w:p>
        </w:tc>
      </w:tr>
    </w:tbl>
    <w:p>
      <w:pPr>
        <w:spacing w:after="40"/>
      </w:pPr>
    </w:p>
    <w:p>
      <w:pPr>
        <w:spacing w:before="240" w:after="80"/>
      </w:pPr>
      <w:r>
        <w:rPr>
          <w:rFonts w:ascii="Calibri" w:hAnsi="Calibri"/>
          <w:b/>
          <w:color w:val="0B6B57"/>
          <w:sz w:val="24"/>
        </w:rPr>
        <w:t>5.2  Cliente web</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cd frontend</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npm install</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npm run dev</w:t>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Debe indicar el puerto 5173. Ese es el origen declarado en FRONTEND_URL: si Vite arranca en otro puerto, el navegador bloqueará todas las llamadas a la API por CORS. En ese caso hay que liberar el 5173, o poner el puerto real en FRONTEND_URL y reiniciar el servidor.</w:t>
      </w:r>
    </w:p>
    <w:p>
      <w:pPr>
        <w:spacing w:before="240" w:after="80"/>
      </w:pPr>
      <w:r>
        <w:rPr>
          <w:rFonts w:ascii="Calibri" w:hAnsi="Calibri"/>
          <w:b/>
          <w:color w:val="0B6B57"/>
          <w:sz w:val="24"/>
        </w:rPr>
        <w:t>5.3  Ejecución en modo producción</w:t>
      </w:r>
    </w:p>
    <w:p>
      <w:pPr>
        <w:spacing w:before="0" w:after="120"/>
      </w:pPr>
      <w:r>
        <w:rPr>
          <w:rFonts w:ascii="Calibri" w:hAnsi="Calibri"/>
          <w:b w:val="0"/>
          <w:color w:val="111827"/>
          <w:sz w:val="21"/>
        </w:rPr>
        <w:t>En producción el cliente se compila a archivos estáticos y el servidor se arranca sin recarga automática. FRONTEND_URL deja de ser opcional: CORS nunca se abre a comodín (RNF-009). El empaquetado en contenedores, que haría este paso idéntico en cualquier equipo, sigue pendiente (RNF-017).</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cd frontend &amp;&amp; npm run build      # genera frontend/dist</w:t>
            </w:r>
          </w:p>
          <w:p>
            <w:pPr>
              <w:spacing w:after="0"/>
            </w:pPr>
            <w:r>
              <w:rPr>
                <w:rFonts w:ascii="Consolas" w:hAnsi="Consolas"/>
                <w:color w:val="DCF2EC"/>
                <w:sz w:val="17"/>
              </w:rPr>
              <w:t>cd ..</w:t>
            </w:r>
          </w:p>
          <w:p>
            <w:pPr>
              <w:spacing w:after="0"/>
            </w:pPr>
            <w:r>
              <w:rPr>
                <w:rFonts w:ascii="Consolas" w:hAnsi="Consolas"/>
                <w:color w:val="DCF2EC"/>
                <w:sz w:val="17"/>
              </w:rPr>
              <w:t>npx prisma migrate deploy</w:t>
            </w:r>
          </w:p>
          <w:p>
            <w:pPr>
              <w:spacing w:after="0"/>
            </w:pPr>
            <w:r>
              <w:rPr>
                <w:rFonts w:ascii="Consolas" w:hAnsi="Consolas"/>
                <w:color w:val="DCF2EC"/>
                <w:sz w:val="17"/>
              </w:rPr>
              <w:t>npm start</w:t>
            </w:r>
          </w:p>
        </w:tc>
      </w:tr>
    </w:tbl>
    <w:p>
      <w:pPr>
        <w:spacing w:after="40"/>
      </w:pPr>
    </w:p>
    <w:p>
      <w:pPr>
        <w:spacing w:before="240" w:after="80"/>
      </w:pPr>
      <w:r>
        <w:rPr>
          <w:rFonts w:ascii="Calibri" w:hAnsi="Calibri"/>
          <w:b/>
          <w:color w:val="0B6B57"/>
          <w:sz w:val="24"/>
        </w:rPr>
        <w:t>5.4  Puertos y direcciones</w:t>
      </w:r>
    </w:p>
    <w:tbl>
      <w:tblPr>
        <w:tblStyle w:val="TableGrid"/>
        <w:tblW w:type="auto" w:w="0"/>
        <w:jc w:val="center"/>
        <w:tblLook w:firstColumn="1" w:firstRow="1" w:lastColumn="0" w:lastRow="0" w:noHBand="0" w:noVBand="1" w:val="04A0"/>
      </w:tblPr>
      <w:tblGrid>
        <w:gridCol w:w="4873"/>
        <w:gridCol w:w="4873"/>
      </w:tblGrid>
      <w:tr>
        <w:tc>
          <w:tcPr>
            <w:tcW w:type="dxa" w:w="3628"/>
            <w:shd w:val="clear" w:fill="0B6B57"/>
          </w:tcPr>
          <w:p>
            <w:pPr>
              <w:spacing w:after="40"/>
            </w:pPr>
            <w:r>
              <w:rPr>
                <w:rFonts w:ascii="Calibri" w:hAnsi="Calibri"/>
                <w:b/>
                <w:color w:val="FFFFFF"/>
                <w:sz w:val="19"/>
              </w:rPr>
              <w:t>Dirección</w:t>
            </w:r>
          </w:p>
        </w:tc>
        <w:tc>
          <w:tcPr>
            <w:tcW w:type="dxa" w:w="5556"/>
            <w:shd w:val="clear" w:fill="0B6B57"/>
          </w:tcPr>
          <w:p>
            <w:pPr>
              <w:spacing w:after="40"/>
            </w:pPr>
            <w:r>
              <w:rPr>
                <w:rFonts w:ascii="Calibri" w:hAnsi="Calibri"/>
                <w:b/>
                <w:color w:val="FFFFFF"/>
                <w:sz w:val="19"/>
              </w:rPr>
              <w:t>Qué es</w:t>
            </w:r>
          </w:p>
        </w:tc>
      </w:tr>
      <w:tr>
        <w:tc>
          <w:tcPr>
            <w:tcW w:type="dxa" w:w="3628"/>
          </w:tcPr>
          <w:p>
            <w:pPr>
              <w:spacing w:after="40"/>
            </w:pPr>
            <w:r>
              <w:rPr>
                <w:rFonts w:ascii="Calibri" w:hAnsi="Calibri"/>
                <w:color w:val="111827"/>
                <w:sz w:val="19"/>
              </w:rPr>
              <w:t>http://localhost:5173</w:t>
            </w:r>
          </w:p>
        </w:tc>
        <w:tc>
          <w:tcPr>
            <w:tcW w:type="dxa" w:w="5556"/>
          </w:tcPr>
          <w:p>
            <w:pPr>
              <w:spacing w:after="40"/>
            </w:pPr>
            <w:r>
              <w:rPr>
                <w:rFonts w:ascii="Calibri" w:hAnsi="Calibri"/>
                <w:color w:val="111827"/>
                <w:sz w:val="19"/>
              </w:rPr>
              <w:t>Aplicación web.</w:t>
            </w:r>
          </w:p>
        </w:tc>
      </w:tr>
      <w:tr>
        <w:tc>
          <w:tcPr>
            <w:tcW w:type="dxa" w:w="3628"/>
          </w:tcPr>
          <w:p>
            <w:pPr>
              <w:spacing w:after="40"/>
            </w:pPr>
            <w:r>
              <w:rPr>
                <w:rFonts w:ascii="Calibri" w:hAnsi="Calibri"/>
                <w:color w:val="111827"/>
                <w:sz w:val="19"/>
              </w:rPr>
              <w:t>http://localhost:3001/api</w:t>
            </w:r>
          </w:p>
        </w:tc>
        <w:tc>
          <w:tcPr>
            <w:tcW w:type="dxa" w:w="5556"/>
          </w:tcPr>
          <w:p>
            <w:pPr>
              <w:spacing w:after="40"/>
            </w:pPr>
            <w:r>
              <w:rPr>
                <w:rFonts w:ascii="Calibri" w:hAnsi="Calibri"/>
                <w:color w:val="111827"/>
                <w:sz w:val="19"/>
              </w:rPr>
              <w:t>Raíz de la API. Sesenta y un endpoints, catalogados en ADSO-ARQ-01.</w:t>
            </w:r>
          </w:p>
        </w:tc>
      </w:tr>
      <w:tr>
        <w:tc>
          <w:tcPr>
            <w:tcW w:type="dxa" w:w="3628"/>
          </w:tcPr>
          <w:p>
            <w:pPr>
              <w:spacing w:after="40"/>
            </w:pPr>
            <w:r>
              <w:rPr>
                <w:rFonts w:ascii="Calibri" w:hAnsi="Calibri"/>
                <w:color w:val="111827"/>
                <w:sz w:val="19"/>
              </w:rPr>
              <w:t>http://localhost:3001/api/health</w:t>
            </w:r>
          </w:p>
        </w:tc>
        <w:tc>
          <w:tcPr>
            <w:tcW w:type="dxa" w:w="5556"/>
          </w:tcPr>
          <w:p>
            <w:pPr>
              <w:spacing w:after="40"/>
            </w:pPr>
            <w:r>
              <w:rPr>
                <w:rFonts w:ascii="Calibri" w:hAnsi="Calibri"/>
                <w:color w:val="111827"/>
                <w:sz w:val="19"/>
              </w:rPr>
              <w:t>Comprobación del servicio y de la base de datos. Pública a propósito.</w:t>
            </w:r>
          </w:p>
        </w:tc>
      </w:tr>
      <w:tr>
        <w:tc>
          <w:tcPr>
            <w:tcW w:type="dxa" w:w="3628"/>
          </w:tcPr>
          <w:p>
            <w:pPr>
              <w:spacing w:after="40"/>
            </w:pPr>
            <w:r>
              <w:rPr>
                <w:rFonts w:ascii="Calibri" w:hAnsi="Calibri"/>
                <w:color w:val="111827"/>
                <w:sz w:val="19"/>
              </w:rPr>
              <w:t>http://localhost:5173/seguimiento/&lt;código&gt;</w:t>
            </w:r>
          </w:p>
        </w:tc>
        <w:tc>
          <w:tcPr>
            <w:tcW w:type="dxa" w:w="5556"/>
          </w:tcPr>
          <w:p>
            <w:pPr>
              <w:spacing w:after="40"/>
            </w:pPr>
            <w:r>
              <w:rPr>
                <w:rFonts w:ascii="Calibri" w:hAnsi="Calibri"/>
                <w:color w:val="111827"/>
                <w:sz w:val="19"/>
              </w:rPr>
              <w:t>Consulta pública del avance de una orden, sin iniciar sesión.</w:t>
            </w:r>
          </w:p>
        </w:tc>
      </w:tr>
    </w:tbl>
    <w:p>
      <w:pPr>
        <w:spacing w:after="40"/>
      </w:pPr>
    </w:p>
    <w:p>
      <w:r>
        <w:br w:type="page"/>
      </w:r>
    </w:p>
    <w:p>
      <w:pPr>
        <w:spacing w:before="360" w:after="160"/>
        <w:pBdr>
          <w:bottom w:val="single" w:sz="6" w:color="0B6B57"/>
        </w:pBdr>
      </w:pPr>
      <w:r>
        <w:rPr>
          <w:rFonts w:ascii="Calibri" w:hAnsi="Calibri"/>
          <w:b/>
          <w:color w:val="0A5647"/>
          <w:sz w:val="30"/>
        </w:rPr>
        <w:t>6. Verificación y pruebas</w:t>
      </w:r>
    </w:p>
    <w:p>
      <w:pPr>
        <w:spacing w:before="240" w:after="80"/>
      </w:pPr>
      <w:r>
        <w:rPr>
          <w:rFonts w:ascii="Calibri" w:hAnsi="Calibri"/>
          <w:b/>
          <w:color w:val="0B6B57"/>
          <w:sz w:val="24"/>
        </w:rPr>
        <w:t>6.1  Estado de las pruebas automatizadas</w:t>
      </w:r>
    </w:p>
    <w:p>
      <w:pPr>
        <w:spacing w:before="0" w:after="120"/>
      </w:pPr>
      <w:r>
        <w:rPr>
          <w:rFonts w:ascii="Calibri" w:hAnsi="Calibri"/>
          <w:b w:val="0"/>
          <w:color w:val="111827"/>
          <w:sz w:val="21"/>
        </w:rPr>
        <w:t>El proyecto no tiene pruebas automatizadas. Es la deuda técnica DT-07, declarada y aceptada: la verificación se hace a mano siguiendo el Plan de Calidad (ADSO-CAL-01). Lo primero es cargar los datos de demostración:</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npm run db:seed      # idempotente: puede repetirse sin duplicar</w:t>
            </w:r>
            <w:r>
              <w:rPr>
                <w:rFonts w:ascii="Consolas" w:hAnsi="Consolas"/>
                <w:color w:val="DCF2EC"/>
                <w:sz w:val="17"/>
              </w:rPr>
            </w:r>
          </w:p>
        </w:tc>
      </w:tr>
    </w:tbl>
    <w:p>
      <w:pPr>
        <w:spacing w:after="40"/>
      </w:pPr>
    </w:p>
    <w:p>
      <w:pPr>
        <w:spacing w:before="0" w:after="120"/>
      </w:pPr>
      <w:r>
        <w:rPr>
          <w:rFonts w:ascii="Calibri" w:hAnsi="Calibri"/>
          <w:b w:val="0"/>
          <w:color w:val="111827"/>
          <w:sz w:val="21"/>
        </w:rPr>
        <w:t>Con la semilla cargada, estas son las cuentas con las que se verifica cada rol. La contraseña es la misma para las cinco y solo sirve sobre los datos de demostración:</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admin@sigtm.com        ADMINISTRADOR</w:t>
            </w:r>
          </w:p>
          <w:p>
            <w:pPr>
              <w:spacing w:after="0"/>
            </w:pPr>
            <w:r>
              <w:rPr>
                <w:rFonts w:ascii="Consolas" w:hAnsi="Consolas"/>
                <w:color w:val="DCF2EC"/>
                <w:sz w:val="17"/>
              </w:rPr>
              <w:t>recepcion@sigtm.com    RECEPCIONISTA</w:t>
            </w:r>
          </w:p>
          <w:p>
            <w:pPr>
              <w:spacing w:after="0"/>
            </w:pPr>
            <w:r>
              <w:rPr>
                <w:rFonts w:ascii="Consolas" w:hAnsi="Consolas"/>
                <w:color w:val="DCF2EC"/>
                <w:sz w:val="17"/>
              </w:rPr>
              <w:t>mecanico1@sigtm.com    MECANICO</w:t>
            </w:r>
          </w:p>
          <w:p>
            <w:pPr>
              <w:spacing w:after="0"/>
            </w:pPr>
            <w:r>
              <w:rPr>
                <w:rFonts w:ascii="Consolas" w:hAnsi="Consolas"/>
                <w:color w:val="DCF2EC"/>
                <w:sz w:val="17"/>
              </w:rPr>
              <w:t>mecanico2@sigtm.com    MECANICO</w:t>
            </w:r>
          </w:p>
          <w:p>
            <w:pPr>
              <w:spacing w:after="0"/>
            </w:pPr>
            <w:r>
              <w:rPr>
                <w:rFonts w:ascii="Consolas" w:hAnsi="Consolas"/>
                <w:color w:val="DCF2EC"/>
                <w:sz w:val="17"/>
              </w:rPr>
              <w:t>cliente@sigtm.com      CLIENTE</w:t>
            </w:r>
          </w:p>
          <w:p>
            <w:pPr>
              <w:spacing w:after="0"/>
            </w:pPr>
            <w:r>
              <w:rPr>
                <w:rFonts w:ascii="Consolas" w:hAnsi="Consolas"/>
                <w:color w:val="DCF2EC"/>
                <w:sz w:val="17"/>
              </w:rPr>
            </w:r>
          </w:p>
          <w:p>
            <w:pPr>
              <w:spacing w:after="0"/>
            </w:pPr>
            <w:r>
              <w:rPr>
                <w:rFonts w:ascii="Consolas" w:hAnsi="Consolas"/>
                <w:color w:val="DCF2EC"/>
                <w:sz w:val="17"/>
              </w:rPr>
              <w:t>Contrasena de todas: Sigtm2026*</w:t>
            </w:r>
          </w:p>
        </w:tc>
      </w:tr>
    </w:tbl>
    <w:p>
      <w:pPr>
        <w:spacing w:after="40"/>
      </w:pPr>
    </w:p>
    <w:p>
      <w:pPr>
        <w:spacing w:before="0" w:after="120"/>
      </w:pPr>
      <w:r>
        <w:rPr>
          <w:rFonts w:ascii="Calibri" w:hAnsi="Calibri"/>
          <w:b w:val="0"/>
          <w:color w:val="111827"/>
          <w:sz w:val="21"/>
        </w:rPr>
        <w:t>Entrar con cada una de las cinco y comprobar que llega a la pantalla que le corresponde es la primera verificación, y la que más fallas de configuración descubre.</w:t>
      </w:r>
    </w:p>
    <w:p>
      <w:pPr>
        <w:spacing w:before="240" w:after="80"/>
      </w:pPr>
      <w:r>
        <w:rPr>
          <w:rFonts w:ascii="Calibri" w:hAnsi="Calibri"/>
          <w:b/>
          <w:color w:val="0B6B57"/>
          <w:sz w:val="24"/>
        </w:rPr>
        <w:t>6.2  Comprobaciones rápidas desde la terminal</w:t>
      </w:r>
    </w:p>
    <w:p>
      <w:pPr>
        <w:spacing w:before="0" w:after="120"/>
      </w:pPr>
      <w:r>
        <w:rPr>
          <w:rFonts w:ascii="Calibri" w:hAnsi="Calibri"/>
          <w:b w:val="0"/>
          <w:color w:val="111827"/>
          <w:sz w:val="21"/>
        </w:rPr>
        <w:t>Con el servidor arriba, dos comprobaciones dicen casi todo. La de salud ejecuta una consulta real contra PostgreSQL y responde 503 si la base no está accesible, de modo que un 200 confirma las dos piezas a la vez. La segunda comprueba que las rutas protegidas rechazan a quien no presenta token:</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curl -i http://localhost:3001/api/health</w:t>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curl -i http://localhost:3001/api/ordenes    # sin token debe responder 401</w:t>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Si una comprobación falla, la causa está escrita en la terminal del servidor, no en el navegador. La verificación que más errores descubre es la de la máquina de estados: recorrer una orden entera comprobando que solo se aceptan las transiciones declaradas.</w:t>
      </w:r>
    </w:p>
    <w:p>
      <w:pPr>
        <w:spacing w:before="240" w:after="80"/>
      </w:pPr>
      <w:r>
        <w:rPr>
          <w:rFonts w:ascii="Calibri" w:hAnsi="Calibri"/>
          <w:b/>
          <w:color w:val="0B6B57"/>
          <w:sz w:val="24"/>
        </w:rPr>
        <w:t>6.3  Los ocho estados de una orden y sus transiciones válidas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0B6B57"/>
          </w:tcPr>
          <w:p>
            <w:pPr>
              <w:spacing w:after="40"/>
            </w:pPr>
            <w:r>
              <w:rPr>
                <w:rFonts w:ascii="Calibri" w:hAnsi="Calibri"/>
                <w:b/>
                <w:color w:val="FFFFFF"/>
                <w:sz w:val="19"/>
              </w:rPr>
              <w:t>Estado</w:t>
            </w:r>
          </w:p>
        </w:tc>
        <w:tc>
          <w:tcPr>
            <w:tcW w:type="dxa" w:w="3628"/>
            <w:shd w:val="clear" w:fill="0B6B57"/>
          </w:tcPr>
          <w:p>
            <w:pPr>
              <w:spacing w:after="40"/>
            </w:pPr>
            <w:r>
              <w:rPr>
                <w:rFonts w:ascii="Calibri" w:hAnsi="Calibri"/>
                <w:b/>
                <w:color w:val="FFFFFF"/>
                <w:sz w:val="19"/>
              </w:rPr>
              <w:t>Qué significa</w:t>
            </w:r>
          </w:p>
        </w:tc>
        <w:tc>
          <w:tcPr>
            <w:tcW w:type="dxa" w:w="3515"/>
            <w:shd w:val="clear" w:fill="0B6B57"/>
          </w:tcPr>
          <w:p>
            <w:pPr>
              <w:spacing w:after="40"/>
            </w:pPr>
            <w:r>
              <w:rPr>
                <w:rFonts w:ascii="Calibri" w:hAnsi="Calibri"/>
                <w:b/>
                <w:color w:val="FFFFFF"/>
                <w:sz w:val="19"/>
              </w:rPr>
              <w:t>Transiciones válidas</w:t>
            </w:r>
          </w:p>
        </w:tc>
      </w:tr>
      <w:tr>
        <w:tc>
          <w:tcPr>
            <w:tcW w:type="dxa" w:w="2041"/>
          </w:tcPr>
          <w:p>
            <w:pPr>
              <w:spacing w:after="40"/>
            </w:pPr>
            <w:r>
              <w:rPr>
                <w:rFonts w:ascii="Calibri" w:hAnsi="Calibri"/>
                <w:color w:val="111827"/>
                <w:sz w:val="19"/>
              </w:rPr>
              <w:t>RECIBIDA</w:t>
            </w:r>
          </w:p>
        </w:tc>
        <w:tc>
          <w:tcPr>
            <w:tcW w:type="dxa" w:w="3628"/>
          </w:tcPr>
          <w:p>
            <w:pPr>
              <w:spacing w:after="40"/>
            </w:pPr>
            <w:r>
              <w:rPr>
                <w:rFonts w:ascii="Calibri" w:hAnsi="Calibri"/>
                <w:color w:val="111827"/>
                <w:sz w:val="19"/>
              </w:rPr>
              <w:t>La motocicleta fue recibida en el taller.</w:t>
            </w:r>
          </w:p>
        </w:tc>
        <w:tc>
          <w:tcPr>
            <w:tcW w:type="dxa" w:w="3515"/>
          </w:tcPr>
          <w:p>
            <w:pPr>
              <w:spacing w:after="40"/>
            </w:pPr>
            <w:r>
              <w:rPr>
                <w:rFonts w:ascii="Calibri" w:hAnsi="Calibri"/>
                <w:color w:val="111827"/>
                <w:sz w:val="19"/>
              </w:rPr>
              <w:t>EN_DIAGNOSTICO, CANCELADA</w:t>
            </w:r>
          </w:p>
        </w:tc>
      </w:tr>
      <w:tr>
        <w:tc>
          <w:tcPr>
            <w:tcW w:type="dxa" w:w="2041"/>
          </w:tcPr>
          <w:p>
            <w:pPr>
              <w:spacing w:after="40"/>
            </w:pPr>
            <w:r>
              <w:rPr>
                <w:rFonts w:ascii="Calibri" w:hAnsi="Calibri"/>
                <w:color w:val="111827"/>
                <w:sz w:val="19"/>
              </w:rPr>
              <w:t>EN_DIAGNOSTICO</w:t>
            </w:r>
          </w:p>
        </w:tc>
        <w:tc>
          <w:tcPr>
            <w:tcW w:type="dxa" w:w="3628"/>
          </w:tcPr>
          <w:p>
            <w:pPr>
              <w:spacing w:after="40"/>
            </w:pPr>
            <w:r>
              <w:rPr>
                <w:rFonts w:ascii="Calibri" w:hAnsi="Calibri"/>
                <w:color w:val="111827"/>
                <w:sz w:val="19"/>
              </w:rPr>
              <w:t>El mecánico está revisando la motocicleta.</w:t>
            </w:r>
          </w:p>
        </w:tc>
        <w:tc>
          <w:tcPr>
            <w:tcW w:type="dxa" w:w="3515"/>
          </w:tcPr>
          <w:p>
            <w:pPr>
              <w:spacing w:after="40"/>
            </w:pPr>
            <w:r>
              <w:rPr>
                <w:rFonts w:ascii="Calibri" w:hAnsi="Calibri"/>
                <w:color w:val="111827"/>
                <w:sz w:val="19"/>
              </w:rPr>
              <w:t>EN_COTIZACION, CANCELADA</w:t>
            </w:r>
          </w:p>
        </w:tc>
      </w:tr>
      <w:tr>
        <w:tc>
          <w:tcPr>
            <w:tcW w:type="dxa" w:w="2041"/>
          </w:tcPr>
          <w:p>
            <w:pPr>
              <w:spacing w:after="40"/>
            </w:pPr>
            <w:r>
              <w:rPr>
                <w:rFonts w:ascii="Calibri" w:hAnsi="Calibri"/>
                <w:color w:val="111827"/>
                <w:sz w:val="19"/>
              </w:rPr>
              <w:t>EN_COTIZACION</w:t>
            </w:r>
          </w:p>
        </w:tc>
        <w:tc>
          <w:tcPr>
            <w:tcW w:type="dxa" w:w="3628"/>
          </w:tcPr>
          <w:p>
            <w:pPr>
              <w:spacing w:after="40"/>
            </w:pPr>
            <w:r>
              <w:rPr>
                <w:rFonts w:ascii="Calibri" w:hAnsi="Calibri"/>
                <w:color w:val="111827"/>
                <w:sz w:val="19"/>
              </w:rPr>
              <w:t>Se elaboró el presupuesto y está a la espera de aprobación.</w:t>
            </w:r>
          </w:p>
        </w:tc>
        <w:tc>
          <w:tcPr>
            <w:tcW w:type="dxa" w:w="3515"/>
          </w:tcPr>
          <w:p>
            <w:pPr>
              <w:spacing w:after="40"/>
            </w:pPr>
            <w:r>
              <w:rPr>
                <w:rFonts w:ascii="Calibri" w:hAnsi="Calibri"/>
                <w:color w:val="111827"/>
                <w:sz w:val="19"/>
              </w:rPr>
              <w:t>APROBADA, CANCELADA</w:t>
            </w:r>
          </w:p>
        </w:tc>
      </w:tr>
      <w:tr>
        <w:tc>
          <w:tcPr>
            <w:tcW w:type="dxa" w:w="2041"/>
          </w:tcPr>
          <w:p>
            <w:pPr>
              <w:spacing w:after="40"/>
            </w:pPr>
            <w:r>
              <w:rPr>
                <w:rFonts w:ascii="Calibri" w:hAnsi="Calibri"/>
                <w:color w:val="111827"/>
                <w:sz w:val="19"/>
              </w:rPr>
              <w:t>APROBADA</w:t>
            </w:r>
          </w:p>
        </w:tc>
        <w:tc>
          <w:tcPr>
            <w:tcW w:type="dxa" w:w="3628"/>
          </w:tcPr>
          <w:p>
            <w:pPr>
              <w:spacing w:after="40"/>
            </w:pPr>
            <w:r>
              <w:rPr>
                <w:rFonts w:ascii="Calibri" w:hAnsi="Calibri"/>
                <w:color w:val="111827"/>
                <w:sz w:val="19"/>
              </w:rPr>
              <w:t>El cliente aprobó el presupuesto.</w:t>
            </w:r>
          </w:p>
        </w:tc>
        <w:tc>
          <w:tcPr>
            <w:tcW w:type="dxa" w:w="3515"/>
          </w:tcPr>
          <w:p>
            <w:pPr>
              <w:spacing w:after="40"/>
            </w:pPr>
            <w:r>
              <w:rPr>
                <w:rFonts w:ascii="Calibri" w:hAnsi="Calibri"/>
                <w:color w:val="111827"/>
                <w:sz w:val="19"/>
              </w:rPr>
              <w:t>EN_REPARACION, CANCELADA</w:t>
            </w:r>
          </w:p>
        </w:tc>
      </w:tr>
      <w:tr>
        <w:tc>
          <w:tcPr>
            <w:tcW w:type="dxa" w:w="2041"/>
          </w:tcPr>
          <w:p>
            <w:pPr>
              <w:spacing w:after="40"/>
            </w:pPr>
            <w:r>
              <w:rPr>
                <w:rFonts w:ascii="Calibri" w:hAnsi="Calibri"/>
                <w:color w:val="111827"/>
                <w:sz w:val="19"/>
              </w:rPr>
              <w:t>EN_REPARACION</w:t>
            </w:r>
          </w:p>
        </w:tc>
        <w:tc>
          <w:tcPr>
            <w:tcW w:type="dxa" w:w="3628"/>
          </w:tcPr>
          <w:p>
            <w:pPr>
              <w:spacing w:after="40"/>
            </w:pPr>
            <w:r>
              <w:rPr>
                <w:rFonts w:ascii="Calibri" w:hAnsi="Calibri"/>
                <w:color w:val="111827"/>
                <w:sz w:val="19"/>
              </w:rPr>
              <w:t>La reparación está en ejecución.</w:t>
            </w:r>
          </w:p>
        </w:tc>
        <w:tc>
          <w:tcPr>
            <w:tcW w:type="dxa" w:w="3515"/>
          </w:tcPr>
          <w:p>
            <w:pPr>
              <w:spacing w:after="40"/>
            </w:pPr>
            <w:r>
              <w:rPr>
                <w:rFonts w:ascii="Calibri" w:hAnsi="Calibri"/>
                <w:color w:val="111827"/>
                <w:sz w:val="19"/>
              </w:rPr>
              <w:t>LISTA, CANCELADA</w:t>
            </w:r>
          </w:p>
        </w:tc>
      </w:tr>
      <w:tr>
        <w:tc>
          <w:tcPr>
            <w:tcW w:type="dxa" w:w="2041"/>
          </w:tcPr>
          <w:p>
            <w:pPr>
              <w:spacing w:after="40"/>
            </w:pPr>
            <w:r>
              <w:rPr>
                <w:rFonts w:ascii="Calibri" w:hAnsi="Calibri"/>
                <w:color w:val="111827"/>
                <w:sz w:val="19"/>
              </w:rPr>
              <w:t>LISTA</w:t>
            </w:r>
          </w:p>
        </w:tc>
        <w:tc>
          <w:tcPr>
            <w:tcW w:type="dxa" w:w="3628"/>
          </w:tcPr>
          <w:p>
            <w:pPr>
              <w:spacing w:after="40"/>
            </w:pPr>
            <w:r>
              <w:rPr>
                <w:rFonts w:ascii="Calibri" w:hAnsi="Calibri"/>
                <w:color w:val="111827"/>
                <w:sz w:val="19"/>
              </w:rPr>
              <w:t>El trabajo terminó y la motocicleta está lista para recoger.</w:t>
            </w:r>
          </w:p>
        </w:tc>
        <w:tc>
          <w:tcPr>
            <w:tcW w:type="dxa" w:w="3515"/>
          </w:tcPr>
          <w:p>
            <w:pPr>
              <w:spacing w:after="40"/>
            </w:pPr>
            <w:r>
              <w:rPr>
                <w:rFonts w:ascii="Calibri" w:hAnsi="Calibri"/>
                <w:color w:val="111827"/>
                <w:sz w:val="19"/>
              </w:rPr>
              <w:t>ENTREGADA</w:t>
            </w:r>
          </w:p>
        </w:tc>
      </w:tr>
      <w:tr>
        <w:tc>
          <w:tcPr>
            <w:tcW w:type="dxa" w:w="2041"/>
          </w:tcPr>
          <w:p>
            <w:pPr>
              <w:spacing w:after="40"/>
            </w:pPr>
            <w:r>
              <w:rPr>
                <w:rFonts w:ascii="Calibri" w:hAnsi="Calibri"/>
                <w:color w:val="111827"/>
                <w:sz w:val="19"/>
              </w:rPr>
              <w:t>ENTREGADA</w:t>
            </w:r>
          </w:p>
        </w:tc>
        <w:tc>
          <w:tcPr>
            <w:tcW w:type="dxa" w:w="3628"/>
          </w:tcPr>
          <w:p>
            <w:pPr>
              <w:spacing w:after="40"/>
            </w:pPr>
            <w:r>
              <w:rPr>
                <w:rFonts w:ascii="Calibri" w:hAnsi="Calibri"/>
                <w:color w:val="111827"/>
                <w:sz w:val="19"/>
              </w:rPr>
              <w:t>La motocicleta fue entregada al cliente. Estado final.</w:t>
            </w:r>
          </w:p>
        </w:tc>
        <w:tc>
          <w:tcPr>
            <w:tcW w:type="dxa" w:w="3515"/>
          </w:tcPr>
          <w:p>
            <w:pPr>
              <w:spacing w:after="40"/>
            </w:pPr>
            <w:r>
              <w:rPr>
                <w:rFonts w:ascii="Calibri" w:hAnsi="Calibri"/>
                <w:color w:val="111827"/>
                <w:sz w:val="19"/>
              </w:rPr>
              <w:t>— (final)</w:t>
            </w:r>
          </w:p>
        </w:tc>
      </w:tr>
      <w:tr>
        <w:tc>
          <w:tcPr>
            <w:tcW w:type="dxa" w:w="2041"/>
          </w:tcPr>
          <w:p>
            <w:pPr>
              <w:spacing w:after="40"/>
            </w:pPr>
            <w:r>
              <w:rPr>
                <w:rFonts w:ascii="Calibri" w:hAnsi="Calibri"/>
                <w:color w:val="111827"/>
                <w:sz w:val="19"/>
              </w:rPr>
              <w:t>CANCELADA</w:t>
            </w:r>
          </w:p>
        </w:tc>
        <w:tc>
          <w:tcPr>
            <w:tcW w:type="dxa" w:w="3628"/>
          </w:tcPr>
          <w:p>
            <w:pPr>
              <w:spacing w:after="40"/>
            </w:pPr>
            <w:r>
              <w:rPr>
                <w:rFonts w:ascii="Calibri" w:hAnsi="Calibri"/>
                <w:color w:val="111827"/>
                <w:sz w:val="19"/>
              </w:rPr>
              <w:t>La orden se anuló antes de completarse. Estado final.</w:t>
            </w:r>
          </w:p>
        </w:tc>
        <w:tc>
          <w:tcPr>
            <w:tcW w:type="dxa" w:w="3515"/>
          </w:tcPr>
          <w:p>
            <w:pPr>
              <w:spacing w:after="40"/>
            </w:pPr>
            <w:r>
              <w:rPr>
                <w:rFonts w:ascii="Calibri" w:hAnsi="Calibri"/>
                <w:color w:val="111827"/>
                <w:sz w:val="19"/>
              </w:rPr>
              <w:t>— (final)</w:t>
            </w:r>
          </w:p>
        </w:tc>
      </w:tr>
    </w:tbl>
    <w:p>
      <w:pPr>
        <w:spacing w:after="40"/>
      </w:pPr>
    </w:p>
    <w:p>
      <w:pPr>
        <w:spacing w:before="240" w:after="80"/>
      </w:pPr>
      <w:r>
        <w:rPr>
          <w:rFonts w:ascii="Calibri" w:hAnsi="Calibri"/>
          <w:b/>
          <w:color w:val="0B6B57"/>
          <w:sz w:val="24"/>
        </w:rPr>
        <w:t>6.4  Integración continua</w:t>
      </w:r>
    </w:p>
    <w:p>
      <w:pPr>
        <w:spacing w:before="0" w:after="120"/>
      </w:pPr>
      <w:r>
        <w:rPr>
          <w:rFonts w:ascii="Calibri" w:hAnsi="Calibri"/>
          <w:b w:val="0"/>
          <w:color w:val="111827"/>
          <w:sz w:val="21"/>
        </w:rPr>
        <w:t>El repositorio no tiene integración continua configurada. Es la deuda técnica DT-08: nada comprueba de forma automática que lo que se sube compila y funciona. Mientras no exista, la comprobación previa a cada incorporación es manual y corresponde a quien envía el cambio.</w:t>
      </w: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Antes de incorporar, comprobar a mano</w:t>
            </w:r>
            <w:r>
              <w:rPr>
                <w:rFonts w:ascii="Calibri" w:hAnsi="Calibri"/>
                <w:color w:val="374151"/>
                <w:sz w:val="20"/>
              </w:rPr>
            </w:r>
          </w:p>
          <w:p>
            <w:r>
              <w:rPr>
                <w:rFonts w:ascii="Calibri" w:hAnsi="Calibri"/>
                <w:b/>
                <w:color w:val="B45309"/>
                <w:sz w:val="21"/>
              </w:rPr>
              <w:t>Sin pruebas automatizadas ni integración continua, lo único que separa un cambio roto del resto del equipo es la comprobación de quien lo envía: instalar dependencias en limpio, arrancar servidor y cliente, y recorrer el flujo que se tocó. Toma unos minutos y evita que los otros dos integrantes pierdan una tarde.</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7. Compilación y despliegue</w:t>
      </w:r>
    </w:p>
    <w:p>
      <w:pPr>
        <w:spacing w:before="240" w:after="80"/>
      </w:pPr>
      <w:r>
        <w:rPr>
          <w:rFonts w:ascii="Calibri" w:hAnsi="Calibri"/>
          <w:b/>
          <w:color w:val="0B6B57"/>
          <w:sz w:val="24"/>
        </w:rPr>
        <w:t>7.1  Cómo se compila el proyecto</w:t>
      </w:r>
    </w:p>
    <w:p>
      <w:pPr>
        <w:spacing w:before="0" w:after="120"/>
      </w:pPr>
      <w:r>
        <w:rPr>
          <w:rFonts w:ascii="Calibri" w:hAnsi="Calibri"/>
          <w:b w:val="0"/>
          <w:color w:val="111827"/>
          <w:sz w:val="21"/>
        </w:rPr>
        <w:t>El servidor no se compila: Node.js ejecuta el código fuente tal cual. Lo único que se construye es el cliente, que Vite empaqueta en archivos estáticos dentro de frontend/dist.</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Decisión</w:t>
            </w:r>
          </w:p>
        </w:tc>
        <w:tc>
          <w:tcPr>
            <w:tcW w:type="dxa" w:w="6576"/>
            <w:shd w:val="clear" w:fill="0B6B57"/>
          </w:tcPr>
          <w:p>
            <w:pPr>
              <w:spacing w:after="40"/>
            </w:pPr>
            <w:r>
              <w:rPr>
                <w:rFonts w:ascii="Calibri" w:hAnsi="Calibri"/>
                <w:b/>
                <w:color w:val="FFFFFF"/>
                <w:sz w:val="19"/>
              </w:rPr>
              <w:t>Motivo</w:t>
            </w:r>
          </w:p>
        </w:tc>
      </w:tr>
      <w:tr>
        <w:tc>
          <w:tcPr>
            <w:tcW w:type="dxa" w:w="2608"/>
          </w:tcPr>
          <w:p>
            <w:pPr>
              <w:spacing w:after="40"/>
            </w:pPr>
            <w:r>
              <w:rPr>
                <w:rFonts w:ascii="Calibri" w:hAnsi="Calibri"/>
                <w:color w:val="111827"/>
                <w:sz w:val="19"/>
              </w:rPr>
              <w:t>Ejecutar Node.js directamente, sin contenedores</w:t>
            </w:r>
          </w:p>
        </w:tc>
        <w:tc>
          <w:tcPr>
            <w:tcW w:type="dxa" w:w="6576"/>
          </w:tcPr>
          <w:p>
            <w:pPr>
              <w:spacing w:after="40"/>
            </w:pPr>
            <w:r>
              <w:rPr>
                <w:rFonts w:ascii="Calibri" w:hAnsi="Calibri"/>
                <w:color w:val="111827"/>
                <w:sz w:val="19"/>
              </w:rPr>
              <w:t>El empaquetado en contenedores está declarado como pendiente (RNF-017). Mientras tanto cada integrante ejecuta el proyecto sobre su propio equipo, con el riesgo de diferencias de entorno que eso implica (RIE-06).</w:t>
            </w:r>
          </w:p>
        </w:tc>
      </w:tr>
      <w:tr>
        <w:tc>
          <w:tcPr>
            <w:tcW w:type="dxa" w:w="2608"/>
          </w:tcPr>
          <w:p>
            <w:pPr>
              <w:spacing w:after="40"/>
            </w:pPr>
            <w:r>
              <w:rPr>
                <w:rFonts w:ascii="Calibri" w:hAnsi="Calibri"/>
                <w:color w:val="111827"/>
                <w:sz w:val="19"/>
              </w:rPr>
              <w:t>Base de datos compartida en la nube</w:t>
            </w:r>
          </w:p>
        </w:tc>
        <w:tc>
          <w:tcPr>
            <w:tcW w:type="dxa" w:w="6576"/>
          </w:tcPr>
          <w:p>
            <w:pPr>
              <w:spacing w:after="40"/>
            </w:pPr>
            <w:r>
              <w:rPr>
                <w:rFonts w:ascii="Calibri" w:hAnsi="Calibri"/>
                <w:color w:val="111827"/>
                <w:sz w:val="19"/>
              </w:rPr>
              <w:t>Evita que cada integrante monte su propio PostgreSQL y que los datos de demostración difieran entre equipos. A cambio exige conexión a internet y cuidado con las migraciones.</w:t>
            </w:r>
          </w:p>
        </w:tc>
      </w:tr>
      <w:tr>
        <w:tc>
          <w:tcPr>
            <w:tcW w:type="dxa" w:w="2608"/>
          </w:tcPr>
          <w:p>
            <w:pPr>
              <w:spacing w:after="40"/>
            </w:pPr>
            <w:r>
              <w:rPr>
                <w:rFonts w:ascii="Calibri" w:hAnsi="Calibri"/>
                <w:color w:val="111827"/>
                <w:sz w:val="19"/>
              </w:rPr>
              <w:t>Servidor y cliente en dos procesos separados</w:t>
            </w:r>
          </w:p>
        </w:tc>
        <w:tc>
          <w:tcPr>
            <w:tcW w:type="dxa" w:w="6576"/>
          </w:tcPr>
          <w:p>
            <w:pPr>
              <w:spacing w:after="40"/>
            </w:pPr>
            <w:r>
              <w:rPr>
                <w:rFonts w:ascii="Calibri" w:hAnsi="Calibri"/>
                <w:color w:val="111827"/>
                <w:sz w:val="19"/>
              </w:rPr>
              <w:t>El servidor expone la API en el 3001 y Vite sirve el cliente en el 5173. Se arrancan, se reinician y se depuran por separado.</w:t>
            </w:r>
          </w:p>
        </w:tc>
      </w:tr>
      <w:tr>
        <w:tc>
          <w:tcPr>
            <w:tcW w:type="dxa" w:w="2608"/>
          </w:tcPr>
          <w:p>
            <w:pPr>
              <w:spacing w:after="40"/>
            </w:pPr>
            <w:r>
              <w:rPr>
                <w:rFonts w:ascii="Calibri" w:hAnsi="Calibri"/>
                <w:color w:val="111827"/>
                <w:sz w:val="19"/>
              </w:rPr>
              <w:t>Los secretos solo en el archivo .env</w:t>
            </w:r>
          </w:p>
        </w:tc>
        <w:tc>
          <w:tcPr>
            <w:tcW w:type="dxa" w:w="6576"/>
          </w:tcPr>
          <w:p>
            <w:pPr>
              <w:spacing w:after="40"/>
            </w:pPr>
            <w:r>
              <w:rPr>
                <w:rFonts w:ascii="Calibri" w:hAnsi="Calibri"/>
                <w:color w:val="111827"/>
                <w:sz w:val="19"/>
              </w:rPr>
              <w:t>El .env está ignorado por el control de versiones; lo único versionado es .env.example, sin valores.</w:t>
            </w:r>
          </w:p>
        </w:tc>
      </w:tr>
      <w:tr>
        <w:tc>
          <w:tcPr>
            <w:tcW w:type="dxa" w:w="2608"/>
          </w:tcPr>
          <w:p>
            <w:pPr>
              <w:spacing w:after="40"/>
            </w:pPr>
            <w:r>
              <w:rPr>
                <w:rFonts w:ascii="Calibri" w:hAnsi="Calibri"/>
                <w:color w:val="111827"/>
                <w:sz w:val="19"/>
              </w:rPr>
              <w:t>Validación de variables al arrancar</w:t>
            </w:r>
          </w:p>
        </w:tc>
        <w:tc>
          <w:tcPr>
            <w:tcW w:type="dxa" w:w="6576"/>
          </w:tcPr>
          <w:p>
            <w:pPr>
              <w:spacing w:after="40"/>
            </w:pPr>
            <w:r>
              <w:rPr>
                <w:rFonts w:ascii="Calibri" w:hAnsi="Calibri"/>
                <w:color w:val="111827"/>
                <w:sz w:val="19"/>
              </w:rPr>
              <w:t>Si falta una variable obligatoria, el servidor no inicia y lo dice. Es preferible a arrancar a medias y fallar más tarde en una petición cualquiera (RNF-012).</w:t>
            </w:r>
          </w:p>
        </w:tc>
      </w:tr>
    </w:tbl>
    <w:p>
      <w:pPr>
        <w:spacing w:after="40"/>
      </w:pPr>
    </w:p>
    <w:p>
      <w:pPr>
        <w:spacing w:before="240" w:after="80"/>
      </w:pPr>
      <w:r>
        <w:rPr>
          <w:rFonts w:ascii="Calibri" w:hAnsi="Calibri"/>
          <w:b/>
          <w:color w:val="0B6B57"/>
          <w:sz w:val="24"/>
        </w:rPr>
        <w:t>7.2  Arrancar en modo producción</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cd frontend &amp;&amp; npm run build      # genera frontend/dist</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cd ..</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npx prisma migrate deploy         # aplica migraciones, no crea ninguna</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NODE_ENV=production npm start</w:t>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Requiere que las variables de entorno estén disponibles en la sesión y que FRONTEND_URL apunte al origen real desde el que se sirve el cliente. En producción CORS no acepta comodín, y el servidor no arranca sin esa variable.</w:t>
      </w:r>
    </w:p>
    <w:p>
      <w:pPr>
        <w:spacing w:before="240" w:after="80"/>
      </w:pPr>
      <w:r>
        <w:rPr>
          <w:rFonts w:ascii="Calibri" w:hAnsi="Calibri"/>
          <w:b/>
          <w:color w:val="0B6B57"/>
          <w:sz w:val="24"/>
        </w:rPr>
        <w:t>7.3  Verificación posterior al despliegue</w:t>
      </w:r>
    </w:p>
    <w:p>
      <w:pPr>
        <w:spacing w:before="0" w:after="120"/>
      </w:pPr>
      <w:r>
        <w:rPr>
          <w:rFonts w:ascii="Calibri" w:hAnsi="Calibri"/>
          <w:b w:val="0"/>
          <w:color w:val="111827"/>
          <w:sz w:val="21"/>
        </w:rPr>
        <w:t>Cinco comprobaciones en orden. Si una falla, no seguir con la siguiente.</w:t>
      </w:r>
    </w:p>
    <w:p>
      <w:pPr>
        <w:spacing w:after="80"/>
        <w:ind w:left="454"/>
      </w:pPr>
      <w:r>
        <w:rPr>
          <w:rFonts w:ascii="Calibri" w:hAnsi="Calibri"/>
          <w:b/>
          <w:color w:val="0B6B57"/>
        </w:rPr>
        <w:t>1.  El servicio responde: curl http://localhost:3001/api/health debe devolver 200. Un 503 significa que el servidor está arriba pero la base de datos no responde.</w:t>
      </w:r>
      <w:r>
        <w:rPr>
          <w:rFonts w:ascii="Calibri" w:hAnsi="Calibri"/>
          <w:sz w:val="21"/>
        </w:rPr>
      </w:r>
    </w:p>
    <w:p>
      <w:pPr>
        <w:spacing w:after="80"/>
        <w:ind w:left="454"/>
      </w:pPr>
      <w:r>
        <w:rPr>
          <w:rFonts w:ascii="Calibri" w:hAnsi="Calibri"/>
          <w:b/>
          <w:color w:val="0B6B57"/>
        </w:rPr>
        <w:t>2.  Las migraciones están al día: npx prisma migrate status no debe reportar ninguna pendiente.</w:t>
      </w:r>
      <w:r>
        <w:rPr>
          <w:rFonts w:ascii="Calibri" w:hAnsi="Calibri"/>
          <w:sz w:val="21"/>
        </w:rPr>
      </w:r>
    </w:p>
    <w:p>
      <w:pPr>
        <w:spacing w:after="80"/>
        <w:ind w:left="454"/>
      </w:pPr>
      <w:r>
        <w:rPr>
          <w:rFonts w:ascii="Calibri" w:hAnsi="Calibri"/>
          <w:b/>
          <w:color w:val="0B6B57"/>
        </w:rPr>
        <w:t>3.  Un recurso protegido rechaza el acceso sin token: curl -i http://localhost:3001/api/ordenes debe devolver 401.</w:t>
      </w:r>
      <w:r>
        <w:rPr>
          <w:rFonts w:ascii="Calibri" w:hAnsi="Calibri"/>
          <w:sz w:val="21"/>
        </w:rPr>
      </w:r>
    </w:p>
    <w:p>
      <w:pPr>
        <w:spacing w:after="80"/>
        <w:ind w:left="454"/>
      </w:pPr>
      <w:r>
        <w:rPr>
          <w:rFonts w:ascii="Calibri" w:hAnsi="Calibri"/>
          <w:b/>
          <w:color w:val="0B6B57"/>
        </w:rPr>
        <w:t>4.  La consulta pública funciona sin sesión: abrir /seguimiento/ con el código de una orden y comprobar que muestra el avance y ningún dato personal.</w:t>
      </w:r>
      <w:r>
        <w:rPr>
          <w:rFonts w:ascii="Calibri" w:hAnsi="Calibri"/>
          <w:sz w:val="21"/>
        </w:rPr>
      </w:r>
    </w:p>
    <w:p>
      <w:pPr>
        <w:spacing w:after="80"/>
        <w:ind w:left="454"/>
      </w:pPr>
      <w:r>
        <w:rPr>
          <w:rFonts w:ascii="Calibri" w:hAnsi="Calibri"/>
          <w:b/>
          <w:color w:val="0B6B57"/>
        </w:rPr>
        <w:t>5.  El recorrido manual de ocho pasos del Plan de Calidad (ADSO-CAL-01) se completa sin errores.</w:t>
      </w:r>
      <w:r>
        <w:rPr>
          <w:rFonts w:ascii="Calibri" w:hAnsi="Calibri"/>
          <w:sz w:val="21"/>
        </w:rPr>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La comprobación de salud sí depende de la base de datos</w:t>
            </w:r>
            <w:r>
              <w:rPr>
                <w:rFonts w:ascii="Calibri" w:hAnsi="Calibri"/>
                <w:color w:val="374151"/>
                <w:sz w:val="20"/>
              </w:rPr>
            </w:r>
          </w:p>
          <w:p>
            <w:r>
              <w:rPr>
                <w:rFonts w:ascii="Calibri" w:hAnsi="Calibri"/>
                <w:b/>
                <w:color w:val="0B6B57"/>
                <w:sz w:val="21"/>
              </w:rPr>
              <w:t>Es deliberado: /api/health ejecuta una consulta real contra PostgreSQL antes de responder. Un chequeo que respondiera «correcto» con la base caída no serviría para nada, que es justo el defecto que se corrigió en el hallazgo SEG-06. En cambio no comprueba el proveedor de correo: un correo que no sale no es el sistema caído, y por eso un fallo de correo nunca interrumpe la operación (RNF-015).</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8. Registros y monitoreo</w:t>
      </w:r>
    </w:p>
    <w:p>
      <w:pPr>
        <w:spacing w:before="240" w:after="80"/>
      </w:pPr>
      <w:r>
        <w:rPr>
          <w:rFonts w:ascii="Calibri" w:hAnsi="Calibri"/>
          <w:b/>
          <w:color w:val="0B6B57"/>
          <w:sz w:val="24"/>
        </w:rPr>
        <w:t>8.1  Dónde están los registros</w:t>
      </w:r>
    </w:p>
    <w:p>
      <w:pPr>
        <w:spacing w:before="0" w:after="120"/>
      </w:pPr>
      <w:r>
        <w:rPr>
          <w:rFonts w:ascii="Calibri" w:hAnsi="Calibri"/>
          <w:b w:val="0"/>
          <w:color w:val="111827"/>
          <w:sz w:val="21"/>
        </w:rPr>
        <w:t>El servidor escribe a la salida estándar de la terminal donde se ejecuta, no a archivos. Cada petición HTTP queda registrada con su método, su ruta, su código de estado y su duración. Quien lo ejecuta decide si eso se guarda y dónde.</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npm run dev                        # el registro sale en esta misma terminal</w:t>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npm run dev &gt; registro.txt 2&gt;&amp;1    # volcar a un archivo</w:t>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En Windows, desde PowerShell:</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npm run dev *&gt;&amp;1 | Tee-Object registro.txt</w:t>
            </w:r>
          </w:p>
        </w:tc>
      </w:tr>
    </w:tbl>
    <w:p>
      <w:pPr>
        <w:spacing w:after="40"/>
      </w:pPr>
    </w:p>
    <w:p>
      <w:pPr>
        <w:spacing w:before="240" w:after="80"/>
      </w:pPr>
      <w:r>
        <w:rPr>
          <w:rFonts w:ascii="Calibri" w:hAnsi="Calibri"/>
          <w:b/>
          <w:color w:val="0B6B57"/>
          <w:sz w:val="24"/>
        </w:rPr>
        <w:t>8.2  Niveles y qué significa cada uno</w:t>
      </w:r>
    </w:p>
    <w:tbl>
      <w:tblPr>
        <w:tblStyle w:val="TableGrid"/>
        <w:tblW w:type="auto" w:w="0"/>
        <w:jc w:val="center"/>
        <w:tblLook w:firstColumn="1" w:firstRow="1" w:lastColumn="0" w:lastRow="0" w:noHBand="0" w:noVBand="1" w:val="04A0"/>
      </w:tblPr>
      <w:tblGrid>
        <w:gridCol w:w="3249"/>
        <w:gridCol w:w="3249"/>
        <w:gridCol w:w="3249"/>
      </w:tblGrid>
      <w:tr>
        <w:tc>
          <w:tcPr>
            <w:tcW w:type="dxa" w:w="1077"/>
            <w:shd w:val="clear" w:fill="0B6B57"/>
          </w:tcPr>
          <w:p>
            <w:pPr>
              <w:spacing w:after="40"/>
            </w:pPr>
            <w:r>
              <w:rPr>
                <w:rFonts w:ascii="Calibri" w:hAnsi="Calibri"/>
                <w:b/>
                <w:color w:val="FFFFFF"/>
                <w:sz w:val="19"/>
              </w:rPr>
              <w:t>Nivel</w:t>
            </w:r>
          </w:p>
        </w:tc>
        <w:tc>
          <w:tcPr>
            <w:tcW w:type="dxa" w:w="4309"/>
            <w:shd w:val="clear" w:fill="0B6B57"/>
          </w:tcPr>
          <w:p>
            <w:pPr>
              <w:spacing w:after="40"/>
            </w:pPr>
            <w:r>
              <w:rPr>
                <w:rFonts w:ascii="Calibri" w:hAnsi="Calibri"/>
                <w:b/>
                <w:color w:val="FFFFFF"/>
                <w:sz w:val="19"/>
              </w:rPr>
              <w:t>Cuándo aparece</w:t>
            </w:r>
          </w:p>
        </w:tc>
        <w:tc>
          <w:tcPr>
            <w:tcW w:type="dxa" w:w="3798"/>
            <w:shd w:val="clear" w:fill="0B6B57"/>
          </w:tcPr>
          <w:p>
            <w:pPr>
              <w:spacing w:after="40"/>
            </w:pPr>
            <w:r>
              <w:rPr>
                <w:rFonts w:ascii="Calibri" w:hAnsi="Calibri"/>
                <w:b/>
                <w:color w:val="FFFFFF"/>
                <w:sz w:val="19"/>
              </w:rPr>
              <w:t>Qué hacer</w:t>
            </w:r>
          </w:p>
        </w:tc>
      </w:tr>
      <w:tr>
        <w:tc>
          <w:tcPr>
            <w:tcW w:type="dxa" w:w="1077"/>
          </w:tcPr>
          <w:p>
            <w:pPr>
              <w:spacing w:after="40"/>
            </w:pPr>
            <w:r>
              <w:rPr>
                <w:rFonts w:ascii="Calibri" w:hAnsi="Calibri"/>
                <w:color w:val="111827"/>
                <w:sz w:val="19"/>
              </w:rPr>
              <w:t>ERROR</w:t>
            </w:r>
          </w:p>
        </w:tc>
        <w:tc>
          <w:tcPr>
            <w:tcW w:type="dxa" w:w="4309"/>
          </w:tcPr>
          <w:p>
            <w:pPr>
              <w:spacing w:after="40"/>
            </w:pPr>
            <w:r>
              <w:rPr>
                <w:rFonts w:ascii="Calibri" w:hAnsi="Calibri"/>
                <w:color w:val="111827"/>
                <w:sz w:val="19"/>
              </w:rPr>
              <w:t>Fallo no previsto: la base de datos no responde, una excepción sin manejar.</w:t>
            </w:r>
          </w:p>
        </w:tc>
        <w:tc>
          <w:tcPr>
            <w:tcW w:type="dxa" w:w="3798"/>
          </w:tcPr>
          <w:p>
            <w:pPr>
              <w:spacing w:after="40"/>
            </w:pPr>
            <w:r>
              <w:rPr>
                <w:rFonts w:ascii="Calibri" w:hAnsi="Calibri"/>
                <w:color w:val="111827"/>
                <w:sz w:val="19"/>
              </w:rPr>
              <w:t>Revisar. Siempre indica algo que hay que corregir.</w:t>
            </w:r>
          </w:p>
        </w:tc>
      </w:tr>
      <w:tr>
        <w:tc>
          <w:tcPr>
            <w:tcW w:type="dxa" w:w="1077"/>
          </w:tcPr>
          <w:p>
            <w:pPr>
              <w:spacing w:after="40"/>
            </w:pPr>
            <w:r>
              <w:rPr>
                <w:rFonts w:ascii="Calibri" w:hAnsi="Calibri"/>
                <w:color w:val="111827"/>
                <w:sz w:val="19"/>
              </w:rPr>
              <w:t>WARN</w:t>
            </w:r>
          </w:p>
        </w:tc>
        <w:tc>
          <w:tcPr>
            <w:tcW w:type="dxa" w:w="4309"/>
          </w:tcPr>
          <w:p>
            <w:pPr>
              <w:spacing w:after="40"/>
            </w:pPr>
            <w:r>
              <w:rPr>
                <w:rFonts w:ascii="Calibri" w:hAnsi="Calibri"/>
                <w:color w:val="111827"/>
                <w:sz w:val="19"/>
              </w:rPr>
              <w:t>Situación prevista pero anómala: acceso rechazado por falta de permiso, token vencido, fallo al enviar un correo.</w:t>
            </w:r>
          </w:p>
        </w:tc>
        <w:tc>
          <w:tcPr>
            <w:tcW w:type="dxa" w:w="3798"/>
          </w:tcPr>
          <w:p>
            <w:pPr>
              <w:spacing w:after="40"/>
            </w:pPr>
            <w:r>
              <w:rPr>
                <w:rFonts w:ascii="Calibri" w:hAnsi="Calibri"/>
                <w:color w:val="111827"/>
                <w:sz w:val="19"/>
              </w:rPr>
              <w:t>Observar. Aisladas son normales; muchas seguidas del mismo origen no.</w:t>
            </w:r>
          </w:p>
        </w:tc>
      </w:tr>
      <w:tr>
        <w:tc>
          <w:tcPr>
            <w:tcW w:type="dxa" w:w="1077"/>
          </w:tcPr>
          <w:p>
            <w:pPr>
              <w:spacing w:after="40"/>
            </w:pPr>
            <w:r>
              <w:rPr>
                <w:rFonts w:ascii="Calibri" w:hAnsi="Calibri"/>
                <w:color w:val="111827"/>
                <w:sz w:val="19"/>
              </w:rPr>
              <w:t>INFO</w:t>
            </w:r>
          </w:p>
        </w:tc>
        <w:tc>
          <w:tcPr>
            <w:tcW w:type="dxa" w:w="4309"/>
          </w:tcPr>
          <w:p>
            <w:pPr>
              <w:spacing w:after="40"/>
            </w:pPr>
            <w:r>
              <w:rPr>
                <w:rFonts w:ascii="Calibri" w:hAnsi="Calibri"/>
                <w:color w:val="111827"/>
                <w:sz w:val="19"/>
              </w:rPr>
              <w:t>Arranque, puerto en escucha y la traza de cada petición HTTP.</w:t>
            </w:r>
          </w:p>
        </w:tc>
        <w:tc>
          <w:tcPr>
            <w:tcW w:type="dxa" w:w="3798"/>
          </w:tcPr>
          <w:p>
            <w:pPr>
              <w:spacing w:after="40"/>
            </w:pPr>
            <w:r>
              <w:rPr>
                <w:rFonts w:ascii="Calibri" w:hAnsi="Calibri"/>
                <w:color w:val="111827"/>
                <w:sz w:val="19"/>
              </w:rPr>
              <w:t>Es la traza normal de operación.</w:t>
            </w:r>
          </w:p>
        </w:tc>
      </w:tr>
      <w:tr>
        <w:tc>
          <w:tcPr>
            <w:tcW w:type="dxa" w:w="1077"/>
          </w:tcPr>
          <w:p>
            <w:pPr>
              <w:spacing w:after="40"/>
            </w:pPr>
            <w:r>
              <w:rPr>
                <w:rFonts w:ascii="Calibri" w:hAnsi="Calibri"/>
                <w:color w:val="111827"/>
                <w:sz w:val="19"/>
              </w:rPr>
              <w:t>DEBUG</w:t>
            </w:r>
          </w:p>
        </w:tc>
        <w:tc>
          <w:tcPr>
            <w:tcW w:type="dxa" w:w="4309"/>
          </w:tcPr>
          <w:p>
            <w:pPr>
              <w:spacing w:after="40"/>
            </w:pPr>
            <w:r>
              <w:rPr>
                <w:rFonts w:ascii="Calibri" w:hAnsi="Calibri"/>
                <w:color w:val="111827"/>
                <w:sz w:val="19"/>
              </w:rPr>
              <w:t>Detalle de las consultas que Prisma lanza a la base. Apagado por omisión.</w:t>
            </w:r>
          </w:p>
        </w:tc>
        <w:tc>
          <w:tcPr>
            <w:tcW w:type="dxa" w:w="3798"/>
          </w:tcPr>
          <w:p>
            <w:pPr>
              <w:spacing w:after="40"/>
            </w:pPr>
            <w:r>
              <w:rPr>
                <w:rFonts w:ascii="Calibri" w:hAnsi="Calibri"/>
                <w:color w:val="111827"/>
                <w:sz w:val="19"/>
              </w:rPr>
              <w:t>Encender solo para diagnosticar y volver a apagar: imprime una línea por consulta.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Un acceso denegado es WARN, no ERROR</w:t>
            </w:r>
            <w:r>
              <w:rPr>
                <w:rFonts w:ascii="Calibri" w:hAnsi="Calibri"/>
                <w:color w:val="374151"/>
                <w:sz w:val="20"/>
              </w:rPr>
            </w:r>
          </w:p>
          <w:p>
            <w:r>
              <w:rPr>
                <w:rFonts w:ascii="Calibri" w:hAnsi="Calibri"/>
                <w:b/>
                <w:color w:val="0B6B57"/>
                <w:sz w:val="21"/>
              </w:rPr>
              <w:t>Cuando un cliente intenta abrir la orden de otro cliente, la aplicación responde 403. Eso no es un fallo: es el middleware de propiedad funcionando, el mismo que cerró el hallazgo SEG-02. Registrarlo como ERROR llenaría el registro de ruido y escondería los fallos verdaderos.</w:t>
            </w:r>
            <w:r>
              <w:rPr>
                <w:rFonts w:ascii="Calibri" w:hAnsi="Calibri"/>
                <w:color w:val="374151"/>
                <w:sz w:val="20"/>
              </w:rPr>
            </w:r>
          </w:p>
        </w:tc>
      </w:tr>
    </w:tbl>
    <w:p>
      <w:pPr>
        <w:spacing w:after="40"/>
      </w:pPr>
    </w:p>
    <w:p>
      <w:pPr>
        <w:spacing w:before="240" w:after="80"/>
      </w:pPr>
      <w:r>
        <w:rPr>
          <w:rFonts w:ascii="Calibri" w:hAnsi="Calibri"/>
          <w:b/>
          <w:color w:val="0B6B57"/>
          <w:sz w:val="24"/>
        </w:rPr>
        <w:t>8.3  Qué nunca se registra</w:t>
      </w:r>
    </w:p>
    <w:p>
      <w:pPr>
        <w:pStyle w:val="ListBullet"/>
        <w:spacing w:after="60"/>
        <w:ind w:left="454"/>
      </w:pPr>
      <w:r>
        <w:rPr>
          <w:rFonts w:ascii="Calibri" w:hAnsi="Calibri"/>
          <w:sz w:val="21"/>
        </w:rPr>
        <w:t>Contraseñas, ni en texto claro ni cifradas.</w:t>
      </w:r>
    </w:p>
    <w:p>
      <w:pPr>
        <w:pStyle w:val="ListBullet"/>
        <w:spacing w:after="60"/>
        <w:ind w:left="454"/>
      </w:pPr>
      <w:r>
        <w:rPr>
          <w:rFonts w:ascii="Calibri" w:hAnsi="Calibri"/>
          <w:sz w:val="21"/>
        </w:rPr>
        <w:t>Tokens de sesión completos.</w:t>
      </w:r>
    </w:p>
    <w:p>
      <w:pPr>
        <w:pStyle w:val="ListBullet"/>
        <w:spacing w:after="60"/>
        <w:ind w:left="454"/>
      </w:pPr>
      <w:r>
        <w:rPr>
          <w:rFonts w:ascii="Calibri" w:hAnsi="Calibri"/>
          <w:sz w:val="21"/>
        </w:rPr>
        <w:t>Los tokens de los enlaces de correo. En la base solo se guarda su hash SHA-256.</w:t>
      </w:r>
    </w:p>
    <w:p>
      <w:pPr>
        <w:pStyle w:val="ListBullet"/>
        <w:spacing w:after="60"/>
        <w:ind w:left="454"/>
      </w:pPr>
      <w:r>
        <w:rPr>
          <w:rFonts w:ascii="Calibri" w:hAnsi="Calibri"/>
          <w:sz w:val="21"/>
        </w:rPr>
        <w:t>El contenido de las variables de entorno.</w:t>
      </w:r>
    </w:p>
    <w:p>
      <w:pPr>
        <w:pStyle w:val="ListBullet"/>
        <w:spacing w:after="60"/>
        <w:ind w:left="454"/>
      </w:pPr>
      <w:r>
        <w:rPr>
          <w:rFonts w:ascii="Calibri" w:hAnsi="Calibri"/>
          <w:sz w:val="21"/>
        </w:rPr>
        <w:t>La cadena de conexión con sus credenciales.</w:t>
      </w:r>
    </w:p>
    <w:p>
      <w:pPr>
        <w:spacing w:before="0" w:after="120"/>
      </w:pPr>
      <w:r>
        <w:rPr>
          <w:rFonts w:ascii="Calibri" w:hAnsi="Calibri"/>
          <w:b w:val="0"/>
          <w:color w:val="111827"/>
          <w:sz w:val="21"/>
        </w:rPr>
        <w:t>Antes de adjuntar un registro a un reporte o de compartirlo, revisarlo. Si aparece algo de la lista anterior, es un defecto y hay que reportarlo.</w:t>
      </w:r>
    </w:p>
    <w:p>
      <w:pPr>
        <w:spacing w:before="240" w:after="80"/>
      </w:pPr>
      <w:r>
        <w:rPr>
          <w:rFonts w:ascii="Calibri" w:hAnsi="Calibri"/>
          <w:b/>
          <w:color w:val="0B6B57"/>
          <w:sz w:val="24"/>
        </w:rPr>
        <w:t>8.4  Monitoreo disponible</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Punto</w:t>
            </w:r>
          </w:p>
        </w:tc>
        <w:tc>
          <w:tcPr>
            <w:tcW w:type="dxa" w:w="6123"/>
            <w:shd w:val="clear" w:fill="0B6B57"/>
          </w:tcPr>
          <w:p>
            <w:pPr>
              <w:spacing w:after="40"/>
            </w:pPr>
            <w:r>
              <w:rPr>
                <w:rFonts w:ascii="Calibri" w:hAnsi="Calibri"/>
                <w:b/>
                <w:color w:val="FFFFFF"/>
                <w:sz w:val="19"/>
              </w:rPr>
              <w:t>Devuelve</w:t>
            </w:r>
          </w:p>
        </w:tc>
      </w:tr>
      <w:tr>
        <w:tc>
          <w:tcPr>
            <w:tcW w:type="dxa" w:w="3061"/>
          </w:tcPr>
          <w:p>
            <w:pPr>
              <w:spacing w:after="40"/>
            </w:pPr>
            <w:r>
              <w:rPr>
                <w:rFonts w:ascii="Calibri" w:hAnsi="Calibri"/>
                <w:color w:val="111827"/>
                <w:sz w:val="19"/>
              </w:rPr>
              <w:t>GET /api/health</w:t>
            </w:r>
          </w:p>
        </w:tc>
        <w:tc>
          <w:tcPr>
            <w:tcW w:type="dxa" w:w="6123"/>
          </w:tcPr>
          <w:p>
            <w:pPr>
              <w:spacing w:after="40"/>
            </w:pPr>
            <w:r>
              <w:rPr>
                <w:rFonts w:ascii="Calibri" w:hAnsi="Calibri"/>
                <w:color w:val="111827"/>
                <w:sz w:val="19"/>
              </w:rPr>
              <w:t>Estado del servicio y de la base de datos. Responde 503 si PostgreSQL no está accesible. Público.</w:t>
            </w:r>
          </w:p>
        </w:tc>
      </w:tr>
      <w:tr>
        <w:tc>
          <w:tcPr>
            <w:tcW w:type="dxa" w:w="3061"/>
          </w:tcPr>
          <w:p>
            <w:pPr>
              <w:spacing w:after="40"/>
            </w:pPr>
            <w:r>
              <w:rPr>
                <w:rFonts w:ascii="Calibri" w:hAnsi="Calibri"/>
                <w:color w:val="111827"/>
                <w:sz w:val="19"/>
              </w:rPr>
              <w:t>GET /api/dashboard/resumen</w:t>
            </w:r>
          </w:p>
        </w:tc>
        <w:tc>
          <w:tcPr>
            <w:tcW w:type="dxa" w:w="6123"/>
          </w:tcPr>
          <w:p>
            <w:pPr>
              <w:spacing w:after="40"/>
            </w:pPr>
            <w:r>
              <w:rPr>
                <w:rFonts w:ascii="Calibri" w:hAnsi="Calibri"/>
                <w:color w:val="111827"/>
                <w:sz w:val="19"/>
              </w:rPr>
              <w:t>Órdenes por estado, citas próximas y repuestos bajo mínimo. Requiere rol de administrador o de recepcionista.</w:t>
            </w:r>
          </w:p>
        </w:tc>
      </w:tr>
      <w:tr>
        <w:tc>
          <w:tcPr>
            <w:tcW w:type="dxa" w:w="3061"/>
          </w:tcPr>
          <w:p>
            <w:pPr>
              <w:spacing w:after="40"/>
            </w:pPr>
            <w:r>
              <w:rPr>
                <w:rFonts w:ascii="Calibri" w:hAnsi="Calibri"/>
                <w:color w:val="111827"/>
                <w:sz w:val="19"/>
              </w:rPr>
              <w:t>GET /api/ordenes/:id</w:t>
            </w:r>
          </w:p>
        </w:tc>
        <w:tc>
          <w:tcPr>
            <w:tcW w:type="dxa" w:w="6123"/>
          </w:tcPr>
          <w:p>
            <w:pPr>
              <w:spacing w:after="40"/>
            </w:pPr>
            <w:r>
              <w:rPr>
                <w:rFonts w:ascii="Calibri" w:hAnsi="Calibri"/>
                <w:color w:val="111827"/>
                <w:sz w:val="19"/>
              </w:rPr>
              <w:t>El expediente de una orden, con su historial de estados: quién hizo cada cambio, cuándo y con qué nota.</w:t>
            </w:r>
          </w:p>
        </w:tc>
      </w:tr>
      <w:tr>
        <w:tc>
          <w:tcPr>
            <w:tcW w:type="dxa" w:w="3061"/>
          </w:tcPr>
          <w:p>
            <w:pPr>
              <w:spacing w:after="40"/>
            </w:pPr>
            <w:r>
              <w:rPr>
                <w:rFonts w:ascii="Calibri" w:hAnsi="Calibri"/>
                <w:color w:val="111827"/>
                <w:sz w:val="19"/>
              </w:rPr>
              <w:t>Consola de Neon</w:t>
            </w:r>
          </w:p>
        </w:tc>
        <w:tc>
          <w:tcPr>
            <w:tcW w:type="dxa" w:w="6123"/>
          </w:tcPr>
          <w:p>
            <w:pPr>
              <w:spacing w:after="40"/>
            </w:pPr>
            <w:r>
              <w:rPr>
                <w:rFonts w:ascii="Calibri" w:hAnsi="Calibri"/>
                <w:color w:val="111827"/>
                <w:sz w:val="19"/>
              </w:rPr>
              <w:t>Consumo de cómputo, conexiones activas y consultas lentas.</w:t>
            </w:r>
          </w:p>
        </w:tc>
      </w:tr>
    </w:tbl>
    <w:p>
      <w:pPr>
        <w:spacing w:after="40"/>
      </w:pPr>
    </w:p>
    <w:p>
      <w:pPr>
        <w:spacing w:before="0" w:after="120"/>
      </w:pPr>
      <w:r>
        <w:rPr>
          <w:rFonts w:ascii="Calibri" w:hAnsi="Calibri"/>
          <w:b w:val="0"/>
          <w:color w:val="111827"/>
          <w:sz w:val="21"/>
        </w:rPr>
        <w:t>No hay más puntos de monitoreo, y es deliberado: el sistema no expone métricas internas ni su configuración. Un punto que devolviera la configuración del servidor devolvería también sus credenciales.</w:t>
      </w:r>
    </w:p>
    <w:p>
      <w:r>
        <w:br w:type="page"/>
      </w:r>
    </w:p>
    <w:p>
      <w:pPr>
        <w:spacing w:before="360" w:after="160"/>
        <w:pBdr>
          <w:bottom w:val="single" w:sz="6" w:color="0B6B57"/>
        </w:pBdr>
      </w:pPr>
      <w:r>
        <w:rPr>
          <w:rFonts w:ascii="Calibri" w:hAnsi="Calibri"/>
          <w:b/>
          <w:color w:val="0A5647"/>
          <w:sz w:val="30"/>
        </w:rPr>
        <w:t>9. Respaldo, restauración y reversión</w:t>
      </w:r>
    </w:p>
    <w:p>
      <w:pPr>
        <w:spacing w:before="240" w:after="80"/>
      </w:pPr>
      <w:r>
        <w:rPr>
          <w:rFonts w:ascii="Calibri" w:hAnsi="Calibri"/>
          <w:b/>
          <w:color w:val="0B6B57"/>
          <w:sz w:val="24"/>
        </w:rPr>
        <w:t>9.1  Qué hay que respaldar</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0B6B57"/>
          </w:tcPr>
          <w:p>
            <w:pPr>
              <w:spacing w:after="40"/>
            </w:pPr>
            <w:r>
              <w:rPr>
                <w:rFonts w:ascii="Calibri" w:hAnsi="Calibri"/>
                <w:b/>
                <w:color w:val="FFFFFF"/>
                <w:sz w:val="19"/>
              </w:rPr>
              <w:t>Elemento</w:t>
            </w:r>
          </w:p>
        </w:tc>
        <w:tc>
          <w:tcPr>
            <w:tcW w:type="dxa" w:w="2835"/>
            <w:shd w:val="clear" w:fill="0B6B57"/>
          </w:tcPr>
          <w:p>
            <w:pPr>
              <w:spacing w:after="40"/>
            </w:pPr>
            <w:r>
              <w:rPr>
                <w:rFonts w:ascii="Calibri" w:hAnsi="Calibri"/>
                <w:b/>
                <w:color w:val="FFFFFF"/>
                <w:sz w:val="19"/>
              </w:rPr>
              <w:t>Dónde vive</w:t>
            </w:r>
          </w:p>
        </w:tc>
        <w:tc>
          <w:tcPr>
            <w:tcW w:type="dxa" w:w="4422"/>
            <w:shd w:val="clear" w:fill="0B6B57"/>
          </w:tcPr>
          <w:p>
            <w:pPr>
              <w:spacing w:after="40"/>
            </w:pPr>
            <w:r>
              <w:rPr>
                <w:rFonts w:ascii="Calibri" w:hAnsi="Calibri"/>
                <w:b/>
                <w:color w:val="FFFFFF"/>
                <w:sz w:val="19"/>
              </w:rPr>
              <w:t>Cómo se recupera</w:t>
            </w:r>
          </w:p>
        </w:tc>
      </w:tr>
      <w:tr>
        <w:tc>
          <w:tcPr>
            <w:tcW w:type="dxa" w:w="1928"/>
          </w:tcPr>
          <w:p>
            <w:pPr>
              <w:spacing w:after="40"/>
            </w:pPr>
            <w:r>
              <w:rPr>
                <w:rFonts w:ascii="Calibri" w:hAnsi="Calibri"/>
                <w:color w:val="111827"/>
                <w:sz w:val="19"/>
              </w:rPr>
              <w:t>Datos de la operación</w:t>
            </w:r>
          </w:p>
        </w:tc>
        <w:tc>
          <w:tcPr>
            <w:tcW w:type="dxa" w:w="2835"/>
          </w:tcPr>
          <w:p>
            <w:pPr>
              <w:spacing w:after="40"/>
            </w:pPr>
            <w:r>
              <w:rPr>
                <w:rFonts w:ascii="Calibri" w:hAnsi="Calibri"/>
                <w:color w:val="111827"/>
                <w:sz w:val="19"/>
              </w:rPr>
              <w:t>PostgreSQL en Neon</w:t>
            </w:r>
          </w:p>
        </w:tc>
        <w:tc>
          <w:tcPr>
            <w:tcW w:type="dxa" w:w="4422"/>
          </w:tcPr>
          <w:p>
            <w:pPr>
              <w:spacing w:after="40"/>
            </w:pPr>
            <w:r>
              <w:rPr>
                <w:rFonts w:ascii="Calibri" w:hAnsi="Calibri"/>
                <w:color w:val="111827"/>
                <w:sz w:val="19"/>
              </w:rPr>
              <w:t>Copia de seguridad de Neon o volcado manual. Es lo único irrecuperable si se pierde.</w:t>
            </w:r>
          </w:p>
        </w:tc>
      </w:tr>
      <w:tr>
        <w:tc>
          <w:tcPr>
            <w:tcW w:type="dxa" w:w="1928"/>
          </w:tcPr>
          <w:p>
            <w:pPr>
              <w:spacing w:after="40"/>
            </w:pPr>
            <w:r>
              <w:rPr>
                <w:rFonts w:ascii="Calibri" w:hAnsi="Calibri"/>
                <w:color w:val="111827"/>
                <w:sz w:val="19"/>
              </w:rPr>
              <w:t>Código fuente</w:t>
            </w:r>
          </w:p>
        </w:tc>
        <w:tc>
          <w:tcPr>
            <w:tcW w:type="dxa" w:w="2835"/>
          </w:tcPr>
          <w:p>
            <w:pPr>
              <w:spacing w:after="40"/>
            </w:pPr>
            <w:r>
              <w:rPr>
                <w:rFonts w:ascii="Calibri" w:hAnsi="Calibri"/>
                <w:color w:val="111827"/>
                <w:sz w:val="19"/>
              </w:rPr>
              <w:t>GitHub</w:t>
            </w:r>
          </w:p>
        </w:tc>
        <w:tc>
          <w:tcPr>
            <w:tcW w:type="dxa" w:w="4422"/>
          </w:tcPr>
          <w:p>
            <w:pPr>
              <w:spacing w:after="40"/>
            </w:pPr>
            <w:r>
              <w:rPr>
                <w:rFonts w:ascii="Calibri" w:hAnsi="Calibri"/>
                <w:color w:val="111827"/>
                <w:sz w:val="19"/>
              </w:rPr>
              <w:t>Se clona. No requiere respaldo aparte.</w:t>
            </w:r>
          </w:p>
        </w:tc>
      </w:tr>
      <w:tr>
        <w:tc>
          <w:tcPr>
            <w:tcW w:type="dxa" w:w="1928"/>
          </w:tcPr>
          <w:p>
            <w:pPr>
              <w:spacing w:after="40"/>
            </w:pPr>
            <w:r>
              <w:rPr>
                <w:rFonts w:ascii="Calibri" w:hAnsi="Calibri"/>
                <w:color w:val="111827"/>
                <w:sz w:val="19"/>
              </w:rPr>
              <w:t>Esquema</w:t>
            </w:r>
          </w:p>
        </w:tc>
        <w:tc>
          <w:tcPr>
            <w:tcW w:type="dxa" w:w="2835"/>
          </w:tcPr>
          <w:p>
            <w:pPr>
              <w:spacing w:after="40"/>
            </w:pPr>
            <w:r>
              <w:rPr>
                <w:rFonts w:ascii="Calibri" w:hAnsi="Calibri"/>
                <w:color w:val="111827"/>
                <w:sz w:val="19"/>
              </w:rPr>
              <w:t>Migraciones en /prisma/migrations</w:t>
            </w:r>
          </w:p>
        </w:tc>
        <w:tc>
          <w:tcPr>
            <w:tcW w:type="dxa" w:w="4422"/>
          </w:tcPr>
          <w:p>
            <w:pPr>
              <w:spacing w:after="40"/>
            </w:pPr>
            <w:r>
              <w:rPr>
                <w:rFonts w:ascii="Calibri" w:hAnsi="Calibri"/>
                <w:color w:val="111827"/>
                <w:sz w:val="19"/>
              </w:rPr>
              <w:t>Prisma lo reconstruye desde cero sobre una base vacía.</w:t>
            </w:r>
          </w:p>
        </w:tc>
      </w:tr>
      <w:tr>
        <w:tc>
          <w:tcPr>
            <w:tcW w:type="dxa" w:w="1928"/>
          </w:tcPr>
          <w:p>
            <w:pPr>
              <w:spacing w:after="40"/>
            </w:pPr>
            <w:r>
              <w:rPr>
                <w:rFonts w:ascii="Calibri" w:hAnsi="Calibri"/>
                <w:color w:val="111827"/>
                <w:sz w:val="19"/>
              </w:rPr>
              <w:t>Configuración</w:t>
            </w:r>
          </w:p>
        </w:tc>
        <w:tc>
          <w:tcPr>
            <w:tcW w:type="dxa" w:w="2835"/>
          </w:tcPr>
          <w:p>
            <w:pPr>
              <w:spacing w:after="40"/>
            </w:pPr>
            <w:r>
              <w:rPr>
                <w:rFonts w:ascii="Calibri" w:hAnsi="Calibri"/>
                <w:color w:val="111827"/>
                <w:sz w:val="19"/>
              </w:rPr>
              <w:t>Archivo .env en cada equipo</w:t>
            </w:r>
          </w:p>
        </w:tc>
        <w:tc>
          <w:tcPr>
            <w:tcW w:type="dxa" w:w="4422"/>
          </w:tcPr>
          <w:p>
            <w:pPr>
              <w:spacing w:after="40"/>
            </w:pPr>
            <w:r>
              <w:rPr>
                <w:rFonts w:ascii="Calibri" w:hAnsi="Calibri"/>
                <w:color w:val="111827"/>
                <w:sz w:val="19"/>
              </w:rPr>
              <w:t>No está versionado a propósito. Se rearma desde .env.example; los secretos se vuelven a pedir o a generar.</w:t>
            </w:r>
          </w:p>
        </w:tc>
      </w:tr>
    </w:tbl>
    <w:p>
      <w:pPr>
        <w:spacing w:after="40"/>
      </w:pPr>
    </w:p>
    <w:p>
      <w:pPr>
        <w:spacing w:before="240" w:after="80"/>
      </w:pPr>
      <w:r>
        <w:rPr>
          <w:rFonts w:ascii="Calibri" w:hAnsi="Calibri"/>
          <w:b/>
          <w:color w:val="0B6B57"/>
          <w:sz w:val="24"/>
        </w:rPr>
        <w:t>9.2  Volcado manual</w:t>
      </w:r>
    </w:p>
    <w:p>
      <w:pPr>
        <w:spacing w:before="0" w:after="120"/>
      </w:pPr>
      <w:r>
        <w:rPr>
          <w:rFonts w:ascii="Calibri" w:hAnsi="Calibri"/>
          <w:b w:val="0"/>
          <w:color w:val="111827"/>
          <w:sz w:val="21"/>
        </w:rPr>
        <w:t>Neon ofrece copias de seguridad desde su propio panel. Para un volcado manual hace falta la herramienta pg_dump del cliente de PostgreSQL:</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pg_dump "$DATABASE_URL" -f copia_sigtm_$(date +%F).sql</w:t>
            </w:r>
            <w:r>
              <w:rPr>
                <w:rFonts w:ascii="Consolas" w:hAnsi="Consolas"/>
                <w:color w:val="DCF2EC"/>
                <w:sz w:val="17"/>
              </w:rPr>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La cadena de conexión contiene la contraseña</w:t>
            </w:r>
            <w:r>
              <w:rPr>
                <w:rFonts w:ascii="Calibri" w:hAnsi="Calibri"/>
                <w:color w:val="374151"/>
                <w:sz w:val="20"/>
              </w:rPr>
            </w:r>
          </w:p>
          <w:p>
            <w:r>
              <w:rPr>
                <w:rFonts w:ascii="Calibri" w:hAnsi="Calibri"/>
                <w:b/>
                <w:color w:val="B45309"/>
                <w:sz w:val="21"/>
              </w:rPr>
              <w:t>Pegarla en la terminal la deja escrita en el historial de comandos. Conviene cargarla desde una variable de entorno y borrar el historial después. El archivo de volcado tampoco debe subirse al repositorio: contiene los datos de todos los clientes registrados.</w:t>
            </w:r>
            <w:r>
              <w:rPr>
                <w:rFonts w:ascii="Calibri" w:hAnsi="Calibri"/>
                <w:color w:val="374151"/>
                <w:sz w:val="20"/>
              </w:rPr>
            </w:r>
          </w:p>
        </w:tc>
      </w:tr>
    </w:tbl>
    <w:p>
      <w:pPr>
        <w:spacing w:after="40"/>
      </w:pPr>
    </w:p>
    <w:p>
      <w:pPr>
        <w:spacing w:before="240" w:after="80"/>
      </w:pPr>
      <w:r>
        <w:rPr>
          <w:rFonts w:ascii="Calibri" w:hAnsi="Calibri"/>
          <w:b/>
          <w:color w:val="0B6B57"/>
          <w:sz w:val="24"/>
        </w:rPr>
        <w:t>9.3  Restaurar</w:t>
      </w:r>
    </w:p>
    <w:p>
      <w:pPr>
        <w:spacing w:after="80"/>
        <w:ind w:left="454"/>
      </w:pPr>
      <w:r>
        <w:rPr>
          <w:rFonts w:ascii="Calibri" w:hAnsi="Calibri"/>
          <w:b/>
          <w:color w:val="0B6B57"/>
        </w:rPr>
        <w:t>1.  Crear una base vacía en Neon. Nunca restaurar sobre la que está en uso.</w:t>
      </w:r>
      <w:r>
        <w:rPr>
          <w:rFonts w:ascii="Calibri" w:hAnsi="Calibri"/>
          <w:sz w:val="21"/>
        </w:rPr>
      </w:r>
    </w:p>
    <w:p>
      <w:pPr>
        <w:spacing w:after="80"/>
        <w:ind w:left="454"/>
      </w:pPr>
      <w:r>
        <w:rPr>
          <w:rFonts w:ascii="Calibri" w:hAnsi="Calibri"/>
          <w:b/>
          <w:color w:val="0B6B57"/>
        </w:rPr>
        <w:t>2.  Restaurar el volcado con psql, apuntando a la base nueva.</w:t>
      </w:r>
      <w:r>
        <w:rPr>
          <w:rFonts w:ascii="Calibri" w:hAnsi="Calibri"/>
          <w:sz w:val="21"/>
        </w:rPr>
      </w:r>
    </w:p>
    <w:p>
      <w:pPr>
        <w:spacing w:after="80"/>
        <w:ind w:left="454"/>
      </w:pPr>
      <w:r>
        <w:rPr>
          <w:rFonts w:ascii="Calibri" w:hAnsi="Calibri"/>
          <w:b/>
          <w:color w:val="0B6B57"/>
        </w:rPr>
        <w:t>3.  Cambiar DATABASE_URL a la base nueva y arrancar el servidor.</w:t>
      </w:r>
      <w:r>
        <w:rPr>
          <w:rFonts w:ascii="Calibri" w:hAnsi="Calibri"/>
          <w:sz w:val="21"/>
        </w:rPr>
      </w:r>
    </w:p>
    <w:p>
      <w:pPr>
        <w:spacing w:after="80"/>
        <w:ind w:left="454"/>
      </w:pPr>
      <w:r>
        <w:rPr>
          <w:rFonts w:ascii="Calibri" w:hAnsi="Calibri"/>
          <w:b/>
          <w:color w:val="0B6B57"/>
        </w:rPr>
        <w:t>4.  Comprobar /api/health y ejecutar npx prisma migrate status.</w:t>
      </w:r>
      <w:r>
        <w:rPr>
          <w:rFonts w:ascii="Calibri" w:hAnsi="Calibri"/>
          <w:sz w:val="21"/>
        </w:rPr>
      </w:r>
    </w:p>
    <w:p>
      <w:pPr>
        <w:spacing w:before="0" w:after="120"/>
      </w:pPr>
      <w:r>
        <w:rPr>
          <w:rFonts w:ascii="Calibri" w:hAnsi="Calibri"/>
          <w:b w:val="0"/>
          <w:color w:val="111827"/>
          <w:sz w:val="21"/>
        </w:rPr>
        <w:t>Se restaura siempre en una base nueva y después se cambia la cadena de conexión: si la restauración sale mal, la original sigue intacta y el equipo no pierde nada.</w:t>
      </w:r>
    </w:p>
    <w:p>
      <w:pPr>
        <w:spacing w:before="240" w:after="80"/>
      </w:pPr>
      <w:r>
        <w:rPr>
          <w:rFonts w:ascii="Calibri" w:hAnsi="Calibri"/>
          <w:b/>
          <w:color w:val="0B6B57"/>
          <w:sz w:val="24"/>
        </w:rPr>
        <w:t>9.4  Revertir una versión</w:t>
      </w:r>
    </w:p>
    <w:p>
      <w:pPr>
        <w:spacing w:before="0" w:after="120"/>
      </w:pPr>
      <w:r>
        <w:rPr>
          <w:rFonts w:ascii="Calibri" w:hAnsi="Calibri"/>
          <w:b w:val="0"/>
          <w:color w:val="111827"/>
          <w:sz w:val="21"/>
        </w:rPr>
        <w:t>La reversión tiene dos partes y cada una se resuelve distinto.</w:t>
      </w:r>
    </w:p>
    <w:tbl>
      <w:tblPr>
        <w:tblStyle w:val="TableGrid"/>
        <w:tblW w:type="auto" w:w="0"/>
        <w:jc w:val="center"/>
        <w:tblLook w:firstColumn="1" w:firstRow="1" w:lastColumn="0" w:lastRow="0" w:noHBand="0" w:noVBand="1" w:val="04A0"/>
      </w:tblPr>
      <w:tblGrid>
        <w:gridCol w:w="4873"/>
        <w:gridCol w:w="4873"/>
      </w:tblGrid>
      <w:tr>
        <w:tc>
          <w:tcPr>
            <w:tcW w:type="dxa" w:w="2381"/>
            <w:shd w:val="clear" w:fill="0B6B57"/>
          </w:tcPr>
          <w:p>
            <w:pPr>
              <w:spacing w:after="40"/>
            </w:pPr>
            <w:r>
              <w:rPr>
                <w:rFonts w:ascii="Calibri" w:hAnsi="Calibri"/>
                <w:b/>
                <w:color w:val="FFFFFF"/>
                <w:sz w:val="19"/>
              </w:rPr>
              <w:t>Qué se revierte</w:t>
            </w:r>
          </w:p>
        </w:tc>
        <w:tc>
          <w:tcPr>
            <w:tcW w:type="dxa" w:w="6803"/>
            <w:shd w:val="clear" w:fill="0B6B57"/>
          </w:tcPr>
          <w:p>
            <w:pPr>
              <w:spacing w:after="40"/>
            </w:pPr>
            <w:r>
              <w:rPr>
                <w:rFonts w:ascii="Calibri" w:hAnsi="Calibri"/>
                <w:b/>
                <w:color w:val="FFFFFF"/>
                <w:sz w:val="19"/>
              </w:rPr>
              <w:t>Cómo</w:t>
            </w:r>
          </w:p>
        </w:tc>
      </w:tr>
      <w:tr>
        <w:tc>
          <w:tcPr>
            <w:tcW w:type="dxa" w:w="2381"/>
          </w:tcPr>
          <w:p>
            <w:pPr>
              <w:spacing w:after="40"/>
            </w:pPr>
            <w:r>
              <w:rPr>
                <w:rFonts w:ascii="Calibri" w:hAnsi="Calibri"/>
                <w:color w:val="111827"/>
                <w:sz w:val="19"/>
              </w:rPr>
              <w:t>La aplicación</w:t>
            </w:r>
          </w:p>
        </w:tc>
        <w:tc>
          <w:tcPr>
            <w:tcW w:type="dxa" w:w="6803"/>
          </w:tcPr>
          <w:p>
            <w:pPr>
              <w:spacing w:after="40"/>
            </w:pPr>
            <w:r>
              <w:rPr>
                <w:rFonts w:ascii="Calibri" w:hAnsi="Calibri"/>
                <w:color w:val="111827"/>
                <w:sz w:val="19"/>
              </w:rPr>
              <w:t>Volver al commit anterior del repositorio, reinstalar dependencias y ejecutar npx prisma generate. No hay imágenes versionadas que recuperar.</w:t>
            </w:r>
          </w:p>
        </w:tc>
      </w:tr>
      <w:tr>
        <w:tc>
          <w:tcPr>
            <w:tcW w:type="dxa" w:w="2381"/>
          </w:tcPr>
          <w:p>
            <w:pPr>
              <w:spacing w:after="40"/>
            </w:pPr>
            <w:r>
              <w:rPr>
                <w:rFonts w:ascii="Calibri" w:hAnsi="Calibri"/>
                <w:color w:val="111827"/>
                <w:sz w:val="19"/>
              </w:rPr>
              <w:t>El esquema</w:t>
            </w:r>
          </w:p>
        </w:tc>
        <w:tc>
          <w:tcPr>
            <w:tcW w:type="dxa" w:w="6803"/>
          </w:tcPr>
          <w:p>
            <w:pPr>
              <w:spacing w:after="40"/>
            </w:pPr>
            <w:r>
              <w:rPr>
                <w:rFonts w:ascii="Calibri" w:hAnsi="Calibri"/>
                <w:color w:val="111827"/>
                <w:sz w:val="19"/>
              </w:rPr>
              <w:t>No se revierte solo. Prisma solo avanza: se escribe una migración nueva que deshaga el cambio. Por eso conviene agregar columnas en lugar de renombrarlas, y eliminarlas solo cuando ninguna versión en uso las utiliza.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código y el esquema tienen que ir del mismo paso</w:t>
            </w:r>
            <w:r>
              <w:rPr>
                <w:rFonts w:ascii="Calibri" w:hAnsi="Calibri"/>
                <w:color w:val="374151"/>
                <w:sz w:val="20"/>
              </w:rPr>
            </w:r>
          </w:p>
          <w:p>
            <w:r>
              <w:rPr>
                <w:rFonts w:ascii="Calibri" w:hAnsi="Calibri"/>
                <w:b/>
                <w:color w:val="0B6B57"/>
                <w:sz w:val="21"/>
              </w:rPr>
              <w:t>El cliente de Prisma se genera a partir del esquema. Si el código es anterior al esquema que está aplicado en la base —o al revés—, las consultas fallan nombrando columnas que parecen estar bien. Después de revertir, de cambiar de rama o de aplicar una migración, ejecutar siempre npx prisma generate.</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10. Solución de problemas</w:t>
      </w:r>
    </w:p>
    <w:p>
      <w:pPr>
        <w:spacing w:before="0" w:after="120"/>
      </w:pPr>
      <w:r>
        <w:rPr>
          <w:rFonts w:ascii="Calibri" w:hAnsi="Calibri"/>
          <w:b w:val="0"/>
          <w:color w:val="111827"/>
          <w:sz w:val="21"/>
        </w:rPr>
        <w:t>Esta sección recoge las fallas más frecuentes al levantar y operar el proyecto. Las que corresponden a defectos ya cerrados están trazadas a los hallazgos del Plan de Calidad (ADSO-CAL-01).</w:t>
      </w:r>
    </w:p>
    <w:p>
      <w:pPr>
        <w:spacing w:before="240" w:after="80"/>
      </w:pPr>
      <w:r>
        <w:rPr>
          <w:rFonts w:ascii="Calibri" w:hAnsi="Calibri"/>
          <w:b/>
          <w:color w:val="0B6B57"/>
          <w:sz w:val="24"/>
        </w:rPr>
        <w:t>10.1  La aplicación no arranca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Síntoma en el registro</w:t>
            </w:r>
          </w:p>
        </w:tc>
        <w:tc>
          <w:tcPr>
            <w:tcW w:type="dxa" w:w="2494"/>
            <w:shd w:val="clear" w:fill="0B6B57"/>
          </w:tcPr>
          <w:p>
            <w:pPr>
              <w:spacing w:after="40"/>
            </w:pPr>
            <w:r>
              <w:rPr>
                <w:rFonts w:ascii="Calibri" w:hAnsi="Calibri"/>
                <w:b/>
                <w:color w:val="FFFFFF"/>
                <w:sz w:val="19"/>
              </w:rPr>
              <w:t>Causa</w:t>
            </w:r>
          </w:p>
        </w:tc>
        <w:tc>
          <w:tcPr>
            <w:tcW w:type="dxa" w:w="3855"/>
            <w:shd w:val="clear" w:fill="0B6B57"/>
          </w:tcPr>
          <w:p>
            <w:pPr>
              <w:spacing w:after="40"/>
            </w:pPr>
            <w:r>
              <w:rPr>
                <w:rFonts w:ascii="Calibri" w:hAnsi="Calibri"/>
                <w:b/>
                <w:color w:val="FFFFFF"/>
                <w:sz w:val="19"/>
              </w:rPr>
              <w:t>Solución</w:t>
            </w:r>
          </w:p>
        </w:tc>
      </w:tr>
      <w:tr>
        <w:tc>
          <w:tcPr>
            <w:tcW w:type="dxa" w:w="2835"/>
          </w:tcPr>
          <w:p>
            <w:pPr>
              <w:spacing w:after="40"/>
            </w:pPr>
            <w:r>
              <w:rPr>
                <w:rFonts w:ascii="Calibri" w:hAnsi="Calibri"/>
                <w:color w:val="111827"/>
                <w:sz w:val="19"/>
              </w:rPr>
              <w:t>Environment variable not found: DATABASE_URL</w:t>
            </w:r>
          </w:p>
        </w:tc>
        <w:tc>
          <w:tcPr>
            <w:tcW w:type="dxa" w:w="2494"/>
          </w:tcPr>
          <w:p>
            <w:pPr>
              <w:spacing w:after="40"/>
            </w:pPr>
            <w:r>
              <w:rPr>
                <w:rFonts w:ascii="Calibri" w:hAnsi="Calibri"/>
                <w:color w:val="111827"/>
                <w:sz w:val="19"/>
              </w:rPr>
              <w:t>Falta la variable obligatoria, o el archivo .env nunca se creó.</w:t>
            </w:r>
          </w:p>
        </w:tc>
        <w:tc>
          <w:tcPr>
            <w:tcW w:type="dxa" w:w="3855"/>
          </w:tcPr>
          <w:p>
            <w:pPr>
              <w:spacing w:after="40"/>
            </w:pPr>
            <w:r>
              <w:rPr>
                <w:rFonts w:ascii="Calibri" w:hAnsi="Calibri"/>
                <w:color w:val="111827"/>
                <w:sz w:val="19"/>
              </w:rPr>
              <w:t>Copiar .env.example a .env y completar DATABASE_URL con la cadena que comparte el líder del proyecto.</w:t>
            </w:r>
          </w:p>
        </w:tc>
      </w:tr>
      <w:tr>
        <w:tc>
          <w:tcPr>
            <w:tcW w:type="dxa" w:w="2835"/>
          </w:tcPr>
          <w:p>
            <w:pPr>
              <w:spacing w:after="40"/>
            </w:pPr>
            <w:r>
              <w:rPr>
                <w:rFonts w:ascii="Calibri" w:hAnsi="Calibri"/>
                <w:color w:val="111827"/>
                <w:sz w:val="19"/>
              </w:rPr>
              <w:t>El proceso termina indicando que falta una variable obligatoria</w:t>
            </w:r>
          </w:p>
        </w:tc>
        <w:tc>
          <w:tcPr>
            <w:tcW w:type="dxa" w:w="2494"/>
          </w:tcPr>
          <w:p>
            <w:pPr>
              <w:spacing w:after="40"/>
            </w:pPr>
            <w:r>
              <w:rPr>
                <w:rFonts w:ascii="Calibri" w:hAnsi="Calibri"/>
                <w:color w:val="111827"/>
                <w:sz w:val="19"/>
              </w:rPr>
              <w:t>Falta JWT_SECRET, o falta FRONTEND_URL estando en producción.</w:t>
            </w:r>
          </w:p>
        </w:tc>
        <w:tc>
          <w:tcPr>
            <w:tcW w:type="dxa" w:w="3855"/>
          </w:tcPr>
          <w:p>
            <w:pPr>
              <w:spacing w:after="40"/>
            </w:pPr>
            <w:r>
              <w:rPr>
                <w:rFonts w:ascii="Calibri" w:hAnsi="Calibri"/>
                <w:color w:val="111827"/>
                <w:sz w:val="19"/>
              </w:rPr>
              <w:t>Completarlas en el .env. Que el servidor no arranque es deliberado (RNF-012): es mejor que fallar más tarde en una petición cualquiera.</w:t>
            </w:r>
          </w:p>
        </w:tc>
      </w:tr>
      <w:tr>
        <w:tc>
          <w:tcPr>
            <w:tcW w:type="dxa" w:w="2835"/>
          </w:tcPr>
          <w:p>
            <w:pPr>
              <w:spacing w:after="40"/>
            </w:pPr>
            <w:r>
              <w:rPr>
                <w:rFonts w:ascii="Calibri" w:hAnsi="Calibri"/>
                <w:color w:val="111827"/>
                <w:sz w:val="19"/>
              </w:rPr>
              <w:t>Can't reach database server</w:t>
            </w:r>
          </w:p>
        </w:tc>
        <w:tc>
          <w:tcPr>
            <w:tcW w:type="dxa" w:w="2494"/>
          </w:tcPr>
          <w:p>
            <w:pPr>
              <w:spacing w:after="40"/>
            </w:pPr>
            <w:r>
              <w:rPr>
                <w:rFonts w:ascii="Calibri" w:hAnsi="Calibri"/>
                <w:color w:val="111827"/>
                <w:sz w:val="19"/>
              </w:rPr>
              <w:t>La cadena de conexión es incorrecta, le falta ?sslmode=require, o Neon suspendió el cómputo por inactividad.</w:t>
            </w:r>
          </w:p>
        </w:tc>
        <w:tc>
          <w:tcPr>
            <w:tcW w:type="dxa" w:w="3855"/>
          </w:tcPr>
          <w:p>
            <w:pPr>
              <w:spacing w:after="40"/>
            </w:pPr>
            <w:r>
              <w:rPr>
                <w:rFonts w:ascii="Calibri" w:hAnsi="Calibri"/>
                <w:color w:val="111827"/>
                <w:sz w:val="19"/>
              </w:rPr>
              <w:t>Confirmar la cadena en el panel de Neon. Si estaba suspendido, la primera petición lo despierta y tarda unos segundos.</w:t>
            </w:r>
          </w:p>
        </w:tc>
      </w:tr>
      <w:tr>
        <w:tc>
          <w:tcPr>
            <w:tcW w:type="dxa" w:w="2835"/>
          </w:tcPr>
          <w:p>
            <w:pPr>
              <w:spacing w:after="40"/>
            </w:pPr>
            <w:r>
              <w:rPr>
                <w:rFonts w:ascii="Calibri" w:hAnsi="Calibri"/>
                <w:color w:val="111827"/>
                <w:sz w:val="19"/>
              </w:rPr>
              <w:t>@prisma/client did not initialize yet</w:t>
            </w:r>
          </w:p>
        </w:tc>
        <w:tc>
          <w:tcPr>
            <w:tcW w:type="dxa" w:w="2494"/>
          </w:tcPr>
          <w:p>
            <w:pPr>
              <w:spacing w:after="40"/>
            </w:pPr>
            <w:r>
              <w:rPr>
                <w:rFonts w:ascii="Calibri" w:hAnsi="Calibri"/>
                <w:color w:val="111827"/>
                <w:sz w:val="19"/>
              </w:rPr>
              <w:t>No se ejecutó npx prisma generate después de instalar o de cambiar el esquema.</w:t>
            </w:r>
          </w:p>
        </w:tc>
        <w:tc>
          <w:tcPr>
            <w:tcW w:type="dxa" w:w="3855"/>
          </w:tcPr>
          <w:p>
            <w:pPr>
              <w:spacing w:after="40"/>
            </w:pPr>
            <w:r>
              <w:rPr>
                <w:rFonts w:ascii="Calibri" w:hAnsi="Calibri"/>
                <w:color w:val="111827"/>
                <w:sz w:val="19"/>
              </w:rPr>
              <w:t>Ejecutar npx prisma generate y volver a arrancar.</w:t>
            </w:r>
          </w:p>
        </w:tc>
      </w:tr>
      <w:tr>
        <w:tc>
          <w:tcPr>
            <w:tcW w:type="dxa" w:w="2835"/>
          </w:tcPr>
          <w:p>
            <w:pPr>
              <w:spacing w:after="40"/>
            </w:pPr>
            <w:r>
              <w:rPr>
                <w:rFonts w:ascii="Calibri" w:hAnsi="Calibri"/>
                <w:color w:val="111827"/>
                <w:sz w:val="19"/>
              </w:rPr>
              <w:t>listen EADDRINUSE: address already in use :::3001</w:t>
            </w:r>
          </w:p>
        </w:tc>
        <w:tc>
          <w:tcPr>
            <w:tcW w:type="dxa" w:w="2494"/>
          </w:tcPr>
          <w:p>
            <w:pPr>
              <w:spacing w:after="40"/>
            </w:pPr>
            <w:r>
              <w:rPr>
                <w:rFonts w:ascii="Calibri" w:hAnsi="Calibri"/>
                <w:color w:val="111827"/>
                <w:sz w:val="19"/>
              </w:rPr>
              <w:t>Otro proceso quedó ocupando el puerto, casi siempre un servidor anterior sin cerrar.</w:t>
            </w:r>
          </w:p>
        </w:tc>
        <w:tc>
          <w:tcPr>
            <w:tcW w:type="dxa" w:w="3855"/>
          </w:tcPr>
          <w:p>
            <w:pPr>
              <w:spacing w:after="40"/>
            </w:pPr>
            <w:r>
              <w:rPr>
                <w:rFonts w:ascii="Calibri" w:hAnsi="Calibri"/>
                <w:color w:val="111827"/>
                <w:sz w:val="19"/>
              </w:rPr>
              <w:t>Cerrar ese proceso, o cambiar PORT en el .env y actualizar VITE_API_URL en el cliente para que coincidan.</w:t>
            </w:r>
          </w:p>
        </w:tc>
      </w:tr>
    </w:tbl>
    <w:p>
      <w:pPr>
        <w:spacing w:after="40"/>
      </w:pPr>
    </w:p>
    <w:p>
      <w:pPr>
        <w:spacing w:before="240" w:after="80"/>
      </w:pPr>
      <w:r>
        <w:rPr>
          <w:rFonts w:ascii="Calibri" w:hAnsi="Calibri"/>
          <w:b/>
          <w:color w:val="0B6B57"/>
          <w:sz w:val="24"/>
        </w:rPr>
        <w:t>10.2  Arranca pero el cliente no funciona</w:t>
      </w:r>
    </w:p>
    <w:tbl>
      <w:tblPr>
        <w:tblStyle w:val="TableGrid"/>
        <w:tblW w:type="auto" w:w="0"/>
        <w:jc w:val="center"/>
        <w:tblLook w:firstColumn="1" w:firstRow="1" w:lastColumn="0" w:lastRow="0" w:noHBand="0" w:noVBand="1" w:val="04A0"/>
      </w:tblPr>
      <w:tblGrid>
        <w:gridCol w:w="3249"/>
        <w:gridCol w:w="3249"/>
        <w:gridCol w:w="3249"/>
      </w:tblGrid>
      <w:tr>
        <w:tc>
          <w:tcPr>
            <w:tcW w:type="dxa" w:w="2721"/>
            <w:shd w:val="clear" w:fill="0B6B57"/>
          </w:tcPr>
          <w:p>
            <w:pPr>
              <w:spacing w:after="40"/>
            </w:pPr>
            <w:r>
              <w:rPr>
                <w:rFonts w:ascii="Calibri" w:hAnsi="Calibri"/>
                <w:b/>
                <w:color w:val="FFFFFF"/>
                <w:sz w:val="19"/>
              </w:rPr>
              <w:t>Síntoma</w:t>
            </w:r>
          </w:p>
        </w:tc>
        <w:tc>
          <w:tcPr>
            <w:tcW w:type="dxa" w:w="2608"/>
            <w:shd w:val="clear" w:fill="0B6B57"/>
          </w:tcPr>
          <w:p>
            <w:pPr>
              <w:spacing w:after="40"/>
            </w:pPr>
            <w:r>
              <w:rPr>
                <w:rFonts w:ascii="Calibri" w:hAnsi="Calibri"/>
                <w:b/>
                <w:color w:val="FFFFFF"/>
                <w:sz w:val="19"/>
              </w:rPr>
              <w:t>Causa</w:t>
            </w:r>
          </w:p>
        </w:tc>
        <w:tc>
          <w:tcPr>
            <w:tcW w:type="dxa" w:w="3855"/>
            <w:shd w:val="clear" w:fill="0B6B57"/>
          </w:tcPr>
          <w:p>
            <w:pPr>
              <w:spacing w:after="40"/>
            </w:pPr>
            <w:r>
              <w:rPr>
                <w:rFonts w:ascii="Calibri" w:hAnsi="Calibri"/>
                <w:b/>
                <w:color w:val="FFFFFF"/>
                <w:sz w:val="19"/>
              </w:rPr>
              <w:t>Solución</w:t>
            </w:r>
          </w:p>
        </w:tc>
      </w:tr>
      <w:tr>
        <w:tc>
          <w:tcPr>
            <w:tcW w:type="dxa" w:w="2721"/>
          </w:tcPr>
          <w:p>
            <w:pPr>
              <w:spacing w:after="40"/>
            </w:pPr>
            <w:r>
              <w:rPr>
                <w:rFonts w:ascii="Calibri" w:hAnsi="Calibri"/>
                <w:color w:val="111827"/>
                <w:sz w:val="19"/>
              </w:rPr>
              <w:t>Todas las peticiones fallan y la consola del navegador menciona CORS</w:t>
            </w:r>
          </w:p>
        </w:tc>
        <w:tc>
          <w:tcPr>
            <w:tcW w:type="dxa" w:w="2608"/>
          </w:tcPr>
          <w:p>
            <w:pPr>
              <w:spacing w:after="40"/>
            </w:pPr>
            <w:r>
              <w:rPr>
                <w:rFonts w:ascii="Calibri" w:hAnsi="Calibri"/>
                <w:color w:val="111827"/>
                <w:sz w:val="19"/>
              </w:rPr>
              <w:t>El cliente está en un origen distinto al declarado en FRONTEND_URL.</w:t>
            </w:r>
          </w:p>
        </w:tc>
        <w:tc>
          <w:tcPr>
            <w:tcW w:type="dxa" w:w="3855"/>
          </w:tcPr>
          <w:p>
            <w:pPr>
              <w:spacing w:after="40"/>
            </w:pPr>
            <w:r>
              <w:rPr>
                <w:rFonts w:ascii="Calibri" w:hAnsi="Calibri"/>
                <w:color w:val="111827"/>
                <w:sz w:val="19"/>
              </w:rPr>
              <w:t>Arrancar Vite en el 5173, o poner el origen real en FRONTEND_URL y reiniciar el servidor. CORS nunca se abre a comodín (RNF-009).</w:t>
            </w:r>
          </w:p>
        </w:tc>
      </w:tr>
      <w:tr>
        <w:tc>
          <w:tcPr>
            <w:tcW w:type="dxa" w:w="2721"/>
          </w:tcPr>
          <w:p>
            <w:pPr>
              <w:spacing w:after="40"/>
            </w:pPr>
            <w:r>
              <w:rPr>
                <w:rFonts w:ascii="Calibri" w:hAnsi="Calibri"/>
                <w:color w:val="111827"/>
                <w:sz w:val="19"/>
              </w:rPr>
              <w:t>Las peticiones salen a la dirección equivocada o responden 404</w:t>
            </w:r>
          </w:p>
        </w:tc>
        <w:tc>
          <w:tcPr>
            <w:tcW w:type="dxa" w:w="2608"/>
          </w:tcPr>
          <w:p>
            <w:pPr>
              <w:spacing w:after="40"/>
            </w:pPr>
            <w:r>
              <w:rPr>
                <w:rFonts w:ascii="Calibri" w:hAnsi="Calibri"/>
                <w:color w:val="111827"/>
                <w:sz w:val="19"/>
              </w:rPr>
              <w:t>VITE_API_URL no está definida o apunta a otro puerto.</w:t>
            </w:r>
          </w:p>
        </w:tc>
        <w:tc>
          <w:tcPr>
            <w:tcW w:type="dxa" w:w="3855"/>
          </w:tcPr>
          <w:p>
            <w:pPr>
              <w:spacing w:after="40"/>
            </w:pPr>
            <w:r>
              <w:rPr>
                <w:rFonts w:ascii="Calibri" w:hAnsi="Calibri"/>
                <w:color w:val="111827"/>
                <w:sz w:val="19"/>
              </w:rPr>
              <w:t>Definirla en frontend/.env como http://localhost:3001 y reiniciar Vite: las variables VITE_ se leen al arrancar, no en caliente.</w:t>
            </w:r>
          </w:p>
        </w:tc>
      </w:tr>
      <w:tr>
        <w:tc>
          <w:tcPr>
            <w:tcW w:type="dxa" w:w="2721"/>
          </w:tcPr>
          <w:p>
            <w:pPr>
              <w:spacing w:after="40"/>
            </w:pPr>
            <w:r>
              <w:rPr>
                <w:rFonts w:ascii="Calibri" w:hAnsi="Calibri"/>
                <w:color w:val="111827"/>
                <w:sz w:val="19"/>
              </w:rPr>
              <w:t>Pantalla en blanco sin ningún mensaje</w:t>
            </w:r>
          </w:p>
        </w:tc>
        <w:tc>
          <w:tcPr>
            <w:tcW w:type="dxa" w:w="2608"/>
          </w:tcPr>
          <w:p>
            <w:pPr>
              <w:spacing w:after="40"/>
            </w:pPr>
            <w:r>
              <w:rPr>
                <w:rFonts w:ascii="Calibri" w:hAnsi="Calibri"/>
                <w:color w:val="111827"/>
                <w:sz w:val="19"/>
              </w:rPr>
              <w:t>Error de sintaxis o de importación en el código del cliente.</w:t>
            </w:r>
          </w:p>
        </w:tc>
        <w:tc>
          <w:tcPr>
            <w:tcW w:type="dxa" w:w="3855"/>
          </w:tcPr>
          <w:p>
            <w:pPr>
              <w:spacing w:after="40"/>
            </w:pPr>
            <w:r>
              <w:rPr>
                <w:rFonts w:ascii="Calibri" w:hAnsi="Calibri"/>
                <w:color w:val="111827"/>
                <w:sz w:val="19"/>
              </w:rPr>
              <w:t>Abrir la consola del navegador. Antes de entregar, comprobar que cd frontend &amp;&amp; npm run build termina sin errores.</w:t>
            </w:r>
          </w:p>
        </w:tc>
      </w:tr>
      <w:tr>
        <w:tc>
          <w:tcPr>
            <w:tcW w:type="dxa" w:w="2721"/>
          </w:tcPr>
          <w:p>
            <w:pPr>
              <w:spacing w:after="40"/>
            </w:pPr>
            <w:r>
              <w:rPr>
                <w:rFonts w:ascii="Calibri" w:hAnsi="Calibri"/>
                <w:color w:val="111827"/>
                <w:sz w:val="19"/>
              </w:rPr>
              <w:t>Iniciar sesión devuelve 500</w:t>
            </w:r>
          </w:p>
        </w:tc>
        <w:tc>
          <w:tcPr>
            <w:tcW w:type="dxa" w:w="2608"/>
          </w:tcPr>
          <w:p>
            <w:pPr>
              <w:spacing w:after="40"/>
            </w:pPr>
            <w:r>
              <w:rPr>
                <w:rFonts w:ascii="Calibri" w:hAnsi="Calibri"/>
                <w:color w:val="111827"/>
                <w:sz w:val="19"/>
              </w:rPr>
              <w:t>El servidor no logra hablar con la base de datos.</w:t>
            </w:r>
          </w:p>
        </w:tc>
        <w:tc>
          <w:tcPr>
            <w:tcW w:type="dxa" w:w="3855"/>
          </w:tcPr>
          <w:p>
            <w:pPr>
              <w:spacing w:after="40"/>
            </w:pPr>
            <w:r>
              <w:rPr>
                <w:rFonts w:ascii="Calibri" w:hAnsi="Calibri"/>
                <w:color w:val="111827"/>
                <w:sz w:val="19"/>
              </w:rPr>
              <w:t>La causa está en la terminal del servidor, no en el navegador. Comprobar /api/health.</w:t>
            </w:r>
          </w:p>
        </w:tc>
      </w:tr>
      <w:tr>
        <w:tc>
          <w:tcPr>
            <w:tcW w:type="dxa" w:w="2721"/>
          </w:tcPr>
          <w:p>
            <w:pPr>
              <w:spacing w:after="40"/>
            </w:pPr>
            <w:r>
              <w:rPr>
                <w:rFonts w:ascii="Calibri" w:hAnsi="Calibri"/>
                <w:color w:val="111827"/>
                <w:sz w:val="19"/>
              </w:rPr>
              <w:t>Iniciar sesión devuelve 401 con credenciales que deberían servir</w:t>
            </w:r>
          </w:p>
        </w:tc>
        <w:tc>
          <w:tcPr>
            <w:tcW w:type="dxa" w:w="2608"/>
          </w:tcPr>
          <w:p>
            <w:pPr>
              <w:spacing w:after="40"/>
            </w:pPr>
            <w:r>
              <w:rPr>
                <w:rFonts w:ascii="Calibri" w:hAnsi="Calibri"/>
                <w:color w:val="111827"/>
                <w:sz w:val="19"/>
              </w:rPr>
              <w:t>La contraseña de las cuentas de demostración es Sigtm2026*, con la mayúscula y el asterisco. O la semilla nunca se ejecutó sobre esta base.</w:t>
            </w:r>
          </w:p>
        </w:tc>
        <w:tc>
          <w:tcPr>
            <w:tcW w:type="dxa" w:w="3855"/>
          </w:tcPr>
          <w:p>
            <w:pPr>
              <w:spacing w:after="40"/>
            </w:pPr>
            <w:r>
              <w:rPr>
                <w:rFonts w:ascii="Calibri" w:hAnsi="Calibri"/>
                <w:color w:val="111827"/>
                <w:sz w:val="19"/>
              </w:rPr>
              <w:t>Ejecutar npm run db:seed, que es idempotente y puede repetirse.</w:t>
            </w:r>
          </w:p>
        </w:tc>
      </w:tr>
      <w:tr>
        <w:tc>
          <w:tcPr>
            <w:tcW w:type="dxa" w:w="2721"/>
          </w:tcPr>
          <w:p>
            <w:pPr>
              <w:spacing w:after="40"/>
            </w:pPr>
            <w:r>
              <w:rPr>
                <w:rFonts w:ascii="Calibri" w:hAnsi="Calibri"/>
                <w:color w:val="111827"/>
                <w:sz w:val="19"/>
              </w:rPr>
              <w:t>La sesión se cierra sola al cabo de unas horas</w:t>
            </w:r>
          </w:p>
        </w:tc>
        <w:tc>
          <w:tcPr>
            <w:tcW w:type="dxa" w:w="2608"/>
          </w:tcPr>
          <w:p>
            <w:pPr>
              <w:spacing w:after="40"/>
            </w:pPr>
            <w:r>
              <w:rPr>
                <w:rFonts w:ascii="Calibri" w:hAnsi="Calibri"/>
                <w:color w:val="111827"/>
                <w:sz w:val="19"/>
              </w:rPr>
              <w:t>El token venció. Dura lo que indique JWT_EXPIRES_IN, por omisión ocho horas.</w:t>
            </w:r>
          </w:p>
        </w:tc>
        <w:tc>
          <w:tcPr>
            <w:tcW w:type="dxa" w:w="3855"/>
          </w:tcPr>
          <w:p>
            <w:pPr>
              <w:spacing w:after="40"/>
            </w:pPr>
            <w:r>
              <w:rPr>
                <w:rFonts w:ascii="Calibri" w:hAnsi="Calibri"/>
                <w:color w:val="111827"/>
                <w:sz w:val="19"/>
              </w:rPr>
              <w:t>Volver a iniciar sesión. No es un error.</w:t>
            </w:r>
          </w:p>
        </w:tc>
      </w:tr>
      <w:tr>
        <w:tc>
          <w:tcPr>
            <w:tcW w:type="dxa" w:w="2721"/>
          </w:tcPr>
          <w:p>
            <w:pPr>
              <w:spacing w:after="40"/>
            </w:pPr>
            <w:r>
              <w:rPr>
                <w:rFonts w:ascii="Calibri" w:hAnsi="Calibri"/>
                <w:color w:val="111827"/>
                <w:sz w:val="19"/>
              </w:rPr>
              <w:t>La sesión deja de servir justo después de cambiar la contraseña</w:t>
            </w:r>
          </w:p>
        </w:tc>
        <w:tc>
          <w:tcPr>
            <w:tcW w:type="dxa" w:w="2608"/>
          </w:tcPr>
          <w:p>
            <w:pPr>
              <w:spacing w:after="40"/>
            </w:pPr>
            <w:r>
              <w:rPr>
                <w:rFonts w:ascii="Calibri" w:hAnsi="Calibri"/>
                <w:color w:val="111827"/>
                <w:sz w:val="19"/>
              </w:rPr>
              <w:t>Es deliberado: los tokens emitidos antes del cambio se rechazan (hallazgo SEG-04).</w:t>
            </w:r>
          </w:p>
        </w:tc>
        <w:tc>
          <w:tcPr>
            <w:tcW w:type="dxa" w:w="3855"/>
          </w:tcPr>
          <w:p>
            <w:pPr>
              <w:spacing w:after="40"/>
            </w:pPr>
            <w:r>
              <w:rPr>
                <w:rFonts w:ascii="Calibri" w:hAnsi="Calibri"/>
                <w:color w:val="111827"/>
                <w:sz w:val="19"/>
              </w:rPr>
              <w:t>Iniciar sesión con la contraseña nueva.</w:t>
            </w:r>
          </w:p>
        </w:tc>
      </w:tr>
      <w:tr>
        <w:tc>
          <w:tcPr>
            <w:tcW w:type="dxa" w:w="2721"/>
          </w:tcPr>
          <w:p>
            <w:pPr>
              <w:spacing w:after="40"/>
            </w:pPr>
            <w:r>
              <w:rPr>
                <w:rFonts w:ascii="Calibri" w:hAnsi="Calibri"/>
                <w:color w:val="111827"/>
                <w:sz w:val="19"/>
              </w:rPr>
              <w:t>Una cuenta con credenciales correctas no puede entrar</w:t>
            </w:r>
          </w:p>
        </w:tc>
        <w:tc>
          <w:tcPr>
            <w:tcW w:type="dxa" w:w="2608"/>
          </w:tcPr>
          <w:p>
            <w:pPr>
              <w:spacing w:after="40"/>
            </w:pPr>
            <w:r>
              <w:rPr>
                <w:rFonts w:ascii="Calibri" w:hAnsi="Calibri"/>
                <w:color w:val="111827"/>
                <w:sz w:val="19"/>
              </w:rPr>
              <w:t>La cuenta está desactivada. Una cuenta desactivada no entra ni opera, ni siquiera con un token todavía vigente (RN-003).</w:t>
            </w:r>
          </w:p>
        </w:tc>
        <w:tc>
          <w:tcPr>
            <w:tcW w:type="dxa" w:w="3855"/>
          </w:tcPr>
          <w:p>
            <w:pPr>
              <w:spacing w:after="40"/>
            </w:pPr>
            <w:r>
              <w:rPr>
                <w:rFonts w:ascii="Calibri" w:hAnsi="Calibri"/>
                <w:color w:val="111827"/>
                <w:sz w:val="19"/>
              </w:rPr>
              <w:t>Reactivarla desde el módulo de usuarios con una cuenta de administrador.</w:t>
            </w:r>
          </w:p>
        </w:tc>
      </w:tr>
      <w:tr>
        <w:tc>
          <w:tcPr>
            <w:tcW w:type="dxa" w:w="2721"/>
          </w:tcPr>
          <w:p>
            <w:pPr>
              <w:spacing w:after="40"/>
            </w:pPr>
            <w:r>
              <w:rPr>
                <w:rFonts w:ascii="Calibri" w:hAnsi="Calibri"/>
                <w:color w:val="111827"/>
                <w:sz w:val="19"/>
              </w:rPr>
              <w:t>El correo de activación o de recuperación nunca llega</w:t>
            </w:r>
          </w:p>
        </w:tc>
        <w:tc>
          <w:tcPr>
            <w:tcW w:type="dxa" w:w="2608"/>
          </w:tcPr>
          <w:p>
            <w:pPr>
              <w:spacing w:after="40"/>
            </w:pPr>
            <w:r>
              <w:rPr>
                <w:rFonts w:ascii="Calibri" w:hAnsi="Calibri"/>
                <w:color w:val="111827"/>
                <w:sz w:val="19"/>
              </w:rPr>
              <w:t>SMTP_HOST no está definida: el sistema usa la cuenta de prueba de Ethereal y el correo no sale del equipo.</w:t>
            </w:r>
          </w:p>
        </w:tc>
        <w:tc>
          <w:tcPr>
            <w:tcW w:type="dxa" w:w="3855"/>
          </w:tcPr>
          <w:p>
            <w:pPr>
              <w:spacing w:after="40"/>
            </w:pPr>
            <w:r>
              <w:rPr>
                <w:rFonts w:ascii="Calibri" w:hAnsi="Calibri"/>
                <w:color w:val="111827"/>
                <w:sz w:val="19"/>
              </w:rPr>
              <w:t>El enlace queda impreso en la consola del servidor y se puede usar desde ahí. Para la demostración, configurar un proveedor real.</w:t>
            </w:r>
          </w:p>
        </w:tc>
      </w:tr>
      <w:tr>
        <w:tc>
          <w:tcPr>
            <w:tcW w:type="dxa" w:w="2721"/>
          </w:tcPr>
          <w:p>
            <w:pPr>
              <w:spacing w:after="40"/>
            </w:pPr>
            <w:r>
              <w:rPr>
                <w:rFonts w:ascii="Calibri" w:hAnsi="Calibri"/>
                <w:color w:val="111827"/>
                <w:sz w:val="19"/>
              </w:rPr>
              <w:t>El recuadro de verificación anti-automatización no aparece</w:t>
            </w:r>
          </w:p>
        </w:tc>
        <w:tc>
          <w:tcPr>
            <w:tcW w:type="dxa" w:w="2608"/>
          </w:tcPr>
          <w:p>
            <w:pPr>
              <w:spacing w:after="40"/>
            </w:pPr>
            <w:r>
              <w:rPr>
                <w:rFonts w:ascii="Calibri" w:hAnsi="Calibri"/>
                <w:color w:val="111827"/>
                <w:sz w:val="19"/>
              </w:rPr>
              <w:t>Es el hallazgo SEG-08, todavía abierto: el formulario envía un valor de prueba fijo en lugar del token real del reCAPTCHA.</w:t>
            </w:r>
          </w:p>
        </w:tc>
        <w:tc>
          <w:tcPr>
            <w:tcW w:type="dxa" w:w="3855"/>
          </w:tcPr>
          <w:p>
            <w:pPr>
              <w:spacing w:after="40"/>
            </w:pPr>
            <w:r>
              <w:rPr>
                <w:rFonts w:ascii="Calibri" w:hAnsi="Calibri"/>
                <w:color w:val="111827"/>
                <w:sz w:val="19"/>
              </w:rPr>
              <w:t>Pendiente de conectar el componente visual. Las claves y la verificación del servidor ya están listas.</w:t>
            </w:r>
          </w:p>
        </w:tc>
      </w:tr>
      <w:tr>
        <w:tc>
          <w:tcPr>
            <w:tcW w:type="dxa" w:w="2721"/>
          </w:tcPr>
          <w:p>
            <w:pPr>
              <w:spacing w:after="40"/>
            </w:pPr>
            <w:r>
              <w:rPr>
                <w:rFonts w:ascii="Calibri" w:hAnsi="Calibri"/>
                <w:color w:val="111827"/>
                <w:sz w:val="19"/>
              </w:rPr>
              <w:t>La primera petición tras un rato de inactividad tarda varios segundos</w:t>
            </w:r>
          </w:p>
        </w:tc>
        <w:tc>
          <w:tcPr>
            <w:tcW w:type="dxa" w:w="2608"/>
          </w:tcPr>
          <w:p>
            <w:pPr>
              <w:spacing w:after="40"/>
            </w:pPr>
            <w:r>
              <w:rPr>
                <w:rFonts w:ascii="Calibri" w:hAnsi="Calibri"/>
                <w:color w:val="111827"/>
                <w:sz w:val="19"/>
              </w:rPr>
              <w:t>El plan gratuito de Neon suspende el cómputo tras un período sin uso.</w:t>
            </w:r>
          </w:p>
        </w:tc>
        <w:tc>
          <w:tcPr>
            <w:tcW w:type="dxa" w:w="3855"/>
          </w:tcPr>
          <w:p>
            <w:pPr>
              <w:spacing w:after="40"/>
            </w:pPr>
            <w:r>
              <w:rPr>
                <w:rFonts w:ascii="Calibri" w:hAnsi="Calibri"/>
                <w:color w:val="111827"/>
                <w:sz w:val="19"/>
              </w:rPr>
              <w:t>Abrir la aplicación unos minutos antes de la sustentación para despertar el servicio (RIE-04).</w:t>
            </w:r>
          </w:p>
        </w:tc>
      </w:tr>
    </w:tbl>
    <w:p>
      <w:pPr>
        <w:spacing w:after="40"/>
      </w:pPr>
    </w:p>
    <w:p>
      <w:pPr>
        <w:spacing w:before="240" w:after="80"/>
      </w:pPr>
      <w:r>
        <w:rPr>
          <w:rFonts w:ascii="Calibri" w:hAnsi="Calibri"/>
          <w:b/>
          <w:color w:val="0B6B57"/>
          <w:sz w:val="24"/>
        </w:rPr>
        <w:t>10.3  Problemas con los datos y las migraciones</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fill="0B6B57"/>
          </w:tcPr>
          <w:p>
            <w:pPr>
              <w:spacing w:after="40"/>
            </w:pPr>
            <w:r>
              <w:rPr>
                <w:rFonts w:ascii="Calibri" w:hAnsi="Calibri"/>
                <w:b/>
                <w:color w:val="FFFFFF"/>
                <w:sz w:val="19"/>
              </w:rPr>
              <w:t>Síntoma</w:t>
            </w:r>
          </w:p>
        </w:tc>
        <w:tc>
          <w:tcPr>
            <w:tcW w:type="dxa" w:w="2948"/>
            <w:shd w:val="clear" w:fill="0B6B57"/>
          </w:tcPr>
          <w:p>
            <w:pPr>
              <w:spacing w:after="40"/>
            </w:pPr>
            <w:r>
              <w:rPr>
                <w:rFonts w:ascii="Calibri" w:hAnsi="Calibri"/>
                <w:b/>
                <w:color w:val="FFFFFF"/>
                <w:sz w:val="19"/>
              </w:rPr>
              <w:t>Causa</w:t>
            </w:r>
          </w:p>
        </w:tc>
        <w:tc>
          <w:tcPr>
            <w:tcW w:type="dxa" w:w="3628"/>
            <w:shd w:val="clear" w:fill="0B6B57"/>
          </w:tcPr>
          <w:p>
            <w:pPr>
              <w:spacing w:after="40"/>
            </w:pPr>
            <w:r>
              <w:rPr>
                <w:rFonts w:ascii="Calibri" w:hAnsi="Calibri"/>
                <w:b/>
                <w:color w:val="FFFFFF"/>
                <w:sz w:val="19"/>
              </w:rPr>
              <w:t>Solución</w:t>
            </w:r>
          </w:p>
        </w:tc>
      </w:tr>
      <w:tr>
        <w:tc>
          <w:tcPr>
            <w:tcW w:type="dxa" w:w="2608"/>
          </w:tcPr>
          <w:p>
            <w:pPr>
              <w:spacing w:after="40"/>
            </w:pPr>
            <w:r>
              <w:rPr>
                <w:rFonts w:ascii="Calibri" w:hAnsi="Calibri"/>
                <w:color w:val="111827"/>
                <w:sz w:val="19"/>
              </w:rPr>
              <w:t>Prisma ofrece hacer un reset de la base al ejecutar migrate dev</w:t>
            </w:r>
          </w:p>
        </w:tc>
        <w:tc>
          <w:tcPr>
            <w:tcW w:type="dxa" w:w="2948"/>
          </w:tcPr>
          <w:p>
            <w:pPr>
              <w:spacing w:after="40"/>
            </w:pPr>
            <w:r>
              <w:rPr>
                <w:rFonts w:ascii="Calibri" w:hAnsi="Calibri"/>
                <w:color w:val="111827"/>
                <w:sz w:val="19"/>
              </w:rPr>
              <w:t>El esquema local y el de la base difieren.</w:t>
            </w:r>
          </w:p>
        </w:tc>
        <w:tc>
          <w:tcPr>
            <w:tcW w:type="dxa" w:w="3628"/>
          </w:tcPr>
          <w:p>
            <w:pPr>
              <w:spacing w:after="40"/>
            </w:pPr>
            <w:r>
              <w:rPr>
                <w:rFonts w:ascii="Calibri" w:hAnsi="Calibri"/>
                <w:color w:val="111827"/>
                <w:sz w:val="19"/>
              </w:rPr>
              <w:t>Rechazarlo siempre. La base es compartida y un reinicio borraría los datos de los tres. Hablar con el líder técnico antes de continuar.</w:t>
            </w:r>
          </w:p>
        </w:tc>
      </w:tr>
      <w:tr>
        <w:tc>
          <w:tcPr>
            <w:tcW w:type="dxa" w:w="2608"/>
          </w:tcPr>
          <w:p>
            <w:pPr>
              <w:spacing w:after="40"/>
            </w:pPr>
            <w:r>
              <w:rPr>
                <w:rFonts w:ascii="Calibri" w:hAnsi="Calibri"/>
                <w:color w:val="111827"/>
                <w:sz w:val="19"/>
              </w:rPr>
              <w:t>npx prisma migrate status reporta migraciones pendientes</w:t>
            </w:r>
          </w:p>
        </w:tc>
        <w:tc>
          <w:tcPr>
            <w:tcW w:type="dxa" w:w="2948"/>
          </w:tcPr>
          <w:p>
            <w:pPr>
              <w:spacing w:after="40"/>
            </w:pPr>
            <w:r>
              <w:rPr>
                <w:rFonts w:ascii="Calibri" w:hAnsi="Calibri"/>
                <w:color w:val="111827"/>
                <w:sz w:val="19"/>
              </w:rPr>
              <w:t>La base no tiene aplicado lo último del repositorio.</w:t>
            </w:r>
          </w:p>
        </w:tc>
        <w:tc>
          <w:tcPr>
            <w:tcW w:type="dxa" w:w="3628"/>
          </w:tcPr>
          <w:p>
            <w:pPr>
              <w:spacing w:after="40"/>
            </w:pPr>
            <w:r>
              <w:rPr>
                <w:rFonts w:ascii="Calibri" w:hAnsi="Calibri"/>
                <w:color w:val="111827"/>
                <w:sz w:val="19"/>
              </w:rPr>
              <w:t>Aplicarlas con npx prisma migrate dev, sin aceptar el reinicio. Es la comprobación que evita el riesgo RIE-01.</w:t>
            </w:r>
          </w:p>
        </w:tc>
      </w:tr>
      <w:tr>
        <w:tc>
          <w:tcPr>
            <w:tcW w:type="dxa" w:w="2608"/>
          </w:tcPr>
          <w:p>
            <w:pPr>
              <w:spacing w:after="40"/>
            </w:pPr>
            <w:r>
              <w:rPr>
                <w:rFonts w:ascii="Calibri" w:hAnsi="Calibri"/>
                <w:color w:val="111827"/>
                <w:sz w:val="19"/>
              </w:rPr>
              <w:t>Una consulta falla nombrando una columna que sí existe en schema.prisma</w:t>
            </w:r>
          </w:p>
        </w:tc>
        <w:tc>
          <w:tcPr>
            <w:tcW w:type="dxa" w:w="2948"/>
          </w:tcPr>
          <w:p>
            <w:pPr>
              <w:spacing w:after="40"/>
            </w:pPr>
            <w:r>
              <w:rPr>
                <w:rFonts w:ascii="Calibri" w:hAnsi="Calibri"/>
                <w:color w:val="111827"/>
                <w:sz w:val="19"/>
              </w:rPr>
              <w:t>El cliente de Prisma se generó contra una versión anterior del esquema.</w:t>
            </w:r>
          </w:p>
        </w:tc>
        <w:tc>
          <w:tcPr>
            <w:tcW w:type="dxa" w:w="3628"/>
          </w:tcPr>
          <w:p>
            <w:pPr>
              <w:spacing w:after="40"/>
            </w:pPr>
            <w:r>
              <w:rPr>
                <w:rFonts w:ascii="Calibri" w:hAnsi="Calibri"/>
                <w:color w:val="111827"/>
                <w:sz w:val="19"/>
              </w:rPr>
              <w:t>Ejecutar npx prisma generate. Hace falta después de cada cambio de esquema y después de cambiar de rama.</w:t>
            </w:r>
          </w:p>
        </w:tc>
      </w:tr>
      <w:tr>
        <w:tc>
          <w:tcPr>
            <w:tcW w:type="dxa" w:w="2608"/>
          </w:tcPr>
          <w:p>
            <w:pPr>
              <w:spacing w:after="40"/>
            </w:pPr>
            <w:r>
              <w:rPr>
                <w:rFonts w:ascii="Calibri" w:hAnsi="Calibri"/>
                <w:color w:val="111827"/>
                <w:sz w:val="19"/>
              </w:rPr>
              <w:t>Las cuentas de demostración no existen o faltan datos</w:t>
            </w:r>
          </w:p>
        </w:tc>
        <w:tc>
          <w:tcPr>
            <w:tcW w:type="dxa" w:w="2948"/>
          </w:tcPr>
          <w:p>
            <w:pPr>
              <w:spacing w:after="40"/>
            </w:pPr>
            <w:r>
              <w:rPr>
                <w:rFonts w:ascii="Calibri" w:hAnsi="Calibri"/>
                <w:color w:val="111827"/>
                <w:sz w:val="19"/>
              </w:rPr>
              <w:t>La semilla no se ha ejecutado sobre esta base.</w:t>
            </w:r>
          </w:p>
        </w:tc>
        <w:tc>
          <w:tcPr>
            <w:tcW w:type="dxa" w:w="3628"/>
          </w:tcPr>
          <w:p>
            <w:pPr>
              <w:spacing w:after="40"/>
            </w:pPr>
            <w:r>
              <w:rPr>
                <w:rFonts w:ascii="Calibri" w:hAnsi="Calibri"/>
                <w:color w:val="111827"/>
                <w:sz w:val="19"/>
              </w:rPr>
              <w:t>Ejecutar npm run db:seed. Es idempotente y puede repetirse sin duplicar.</w:t>
            </w:r>
          </w:p>
        </w:tc>
      </w:tr>
    </w:tbl>
    <w:p>
      <w:pPr>
        <w:spacing w:after="40"/>
      </w:pPr>
    </w:p>
    <w:p>
      <w:pPr>
        <w:spacing w:before="240" w:after="80"/>
      </w:pPr>
      <w:r>
        <w:rPr>
          <w:rFonts w:ascii="Calibri" w:hAnsi="Calibri"/>
          <w:b/>
          <w:color w:val="0B6B57"/>
          <w:sz w:val="24"/>
        </w:rPr>
        <w:t>10.4  Problemas con el repositorio</w:t>
      </w:r>
    </w:p>
    <w:tbl>
      <w:tblPr>
        <w:tblStyle w:val="TableGrid"/>
        <w:tblW w:type="auto" w:w="0"/>
        <w:jc w:val="center"/>
        <w:tblLook w:firstColumn="1" w:firstRow="1" w:lastColumn="0" w:lastRow="0" w:noHBand="0" w:noVBand="1" w:val="04A0"/>
      </w:tblPr>
      <w:tblGrid>
        <w:gridCol w:w="3249"/>
        <w:gridCol w:w="3249"/>
        <w:gridCol w:w="3249"/>
      </w:tblGrid>
      <w:tr>
        <w:tc>
          <w:tcPr>
            <w:tcW w:type="dxa" w:w="2721"/>
            <w:shd w:val="clear" w:fill="0B6B57"/>
          </w:tcPr>
          <w:p>
            <w:pPr>
              <w:spacing w:after="40"/>
            </w:pPr>
            <w:r>
              <w:rPr>
                <w:rFonts w:ascii="Calibri" w:hAnsi="Calibri"/>
                <w:b/>
                <w:color w:val="FFFFFF"/>
                <w:sz w:val="19"/>
              </w:rPr>
              <w:t>Síntoma</w:t>
            </w:r>
          </w:p>
        </w:tc>
        <w:tc>
          <w:tcPr>
            <w:tcW w:type="dxa" w:w="2608"/>
            <w:shd w:val="clear" w:fill="0B6B57"/>
          </w:tcPr>
          <w:p>
            <w:pPr>
              <w:spacing w:after="40"/>
            </w:pPr>
            <w:r>
              <w:rPr>
                <w:rFonts w:ascii="Calibri" w:hAnsi="Calibri"/>
                <w:b/>
                <w:color w:val="FFFFFF"/>
                <w:sz w:val="19"/>
              </w:rPr>
              <w:t>Causa</w:t>
            </w:r>
          </w:p>
        </w:tc>
        <w:tc>
          <w:tcPr>
            <w:tcW w:type="dxa" w:w="3855"/>
            <w:shd w:val="clear" w:fill="0B6B57"/>
          </w:tcPr>
          <w:p>
            <w:pPr>
              <w:spacing w:after="40"/>
            </w:pPr>
            <w:r>
              <w:rPr>
                <w:rFonts w:ascii="Calibri" w:hAnsi="Calibri"/>
                <w:b/>
                <w:color w:val="FFFFFF"/>
                <w:sz w:val="19"/>
              </w:rPr>
              <w:t>Solución</w:t>
            </w:r>
          </w:p>
        </w:tc>
      </w:tr>
      <w:tr>
        <w:tc>
          <w:tcPr>
            <w:tcW w:type="dxa" w:w="2721"/>
          </w:tcPr>
          <w:p>
            <w:pPr>
              <w:spacing w:after="40"/>
            </w:pPr>
            <w:r>
              <w:rPr>
                <w:rFonts w:ascii="Calibri" w:hAnsi="Calibri"/>
                <w:color w:val="111827"/>
                <w:sz w:val="19"/>
              </w:rPr>
              <w:t>El envío se rechaza: 'Updates were rejected'</w:t>
            </w:r>
          </w:p>
        </w:tc>
        <w:tc>
          <w:tcPr>
            <w:tcW w:type="dxa" w:w="2608"/>
          </w:tcPr>
          <w:p>
            <w:pPr>
              <w:spacing w:after="40"/>
            </w:pPr>
            <w:r>
              <w:rPr>
                <w:rFonts w:ascii="Calibri" w:hAnsi="Calibri"/>
                <w:color w:val="111827"/>
                <w:sz w:val="19"/>
              </w:rPr>
              <w:t>La rama remota tiene cambios que el clon local no tiene.</w:t>
            </w:r>
          </w:p>
        </w:tc>
        <w:tc>
          <w:tcPr>
            <w:tcW w:type="dxa" w:w="3855"/>
          </w:tcPr>
          <w:p>
            <w:pPr>
              <w:spacing w:after="40"/>
            </w:pPr>
            <w:r>
              <w:rPr>
                <w:rFonts w:ascii="Calibri" w:hAnsi="Calibri"/>
                <w:color w:val="111827"/>
                <w:sz w:val="19"/>
              </w:rPr>
              <w:t>Actualizar con git pull antes de enviar. Conviene además que cada integrante trabaje en su propia rama.</w:t>
            </w:r>
          </w:p>
        </w:tc>
      </w:tr>
      <w:tr>
        <w:tc>
          <w:tcPr>
            <w:tcW w:type="dxa" w:w="2721"/>
          </w:tcPr>
          <w:p>
            <w:pPr>
              <w:spacing w:after="40"/>
            </w:pPr>
            <w:r>
              <w:rPr>
                <w:rFonts w:ascii="Calibri" w:hAnsi="Calibri"/>
                <w:color w:val="111827"/>
                <w:sz w:val="19"/>
              </w:rPr>
              <w:t>El envío se rechaza por falta de permiso</w:t>
            </w:r>
          </w:p>
        </w:tc>
        <w:tc>
          <w:tcPr>
            <w:tcW w:type="dxa" w:w="2608"/>
          </w:tcPr>
          <w:p>
            <w:pPr>
              <w:spacing w:after="40"/>
            </w:pPr>
            <w:r>
              <w:rPr>
                <w:rFonts w:ascii="Calibri" w:hAnsi="Calibri"/>
                <w:color w:val="111827"/>
                <w:sz w:val="19"/>
              </w:rPr>
              <w:t>La cuenta no figura como colaboradora del repositorio.</w:t>
            </w:r>
          </w:p>
        </w:tc>
        <w:tc>
          <w:tcPr>
            <w:tcW w:type="dxa" w:w="3855"/>
          </w:tcPr>
          <w:p>
            <w:pPr>
              <w:spacing w:after="40"/>
            </w:pPr>
            <w:r>
              <w:rPr>
                <w:rFonts w:ascii="Calibri" w:hAnsi="Calibri"/>
                <w:color w:val="111827"/>
                <w:sz w:val="19"/>
              </w:rPr>
              <w:t>Es el riesgo RIE-02. Resolver el permiso con el propietario del repositorio, o mover el proyecto a uno del equipo.</w:t>
            </w:r>
          </w:p>
        </w:tc>
      </w:tr>
      <w:tr>
        <w:tc>
          <w:tcPr>
            <w:tcW w:type="dxa" w:w="2721"/>
          </w:tcPr>
          <w:p>
            <w:pPr>
              <w:spacing w:after="40"/>
            </w:pPr>
            <w:r>
              <w:rPr>
                <w:rFonts w:ascii="Calibri" w:hAnsi="Calibri"/>
                <w:color w:val="111827"/>
                <w:sz w:val="19"/>
              </w:rPr>
              <w:t>El archivo .env aparece en git status</w:t>
            </w:r>
          </w:p>
        </w:tc>
        <w:tc>
          <w:tcPr>
            <w:tcW w:type="dxa" w:w="2608"/>
          </w:tcPr>
          <w:p>
            <w:pPr>
              <w:spacing w:after="40"/>
            </w:pPr>
            <w:r>
              <w:rPr>
                <w:rFonts w:ascii="Calibri" w:hAnsi="Calibri"/>
                <w:color w:val="111827"/>
                <w:sz w:val="19"/>
              </w:rPr>
              <w:t>Se creó antes de que estuviera ignorado.</w:t>
            </w:r>
          </w:p>
        </w:tc>
        <w:tc>
          <w:tcPr>
            <w:tcW w:type="dxa" w:w="3855"/>
          </w:tcPr>
          <w:p>
            <w:pPr>
              <w:spacing w:after="40"/>
            </w:pPr>
            <w:r>
              <w:rPr>
                <w:rFonts w:ascii="Calibri" w:hAnsi="Calibri"/>
                <w:color w:val="111827"/>
                <w:sz w:val="19"/>
              </w:rPr>
              <w:t>Sacarlo del índice con git rm --cached .env. Si llegó a subirse, hay que rotar JWT_SECRET y pedir a Neon una cadena de conexión nueva.</w:t>
            </w:r>
          </w:p>
        </w:tc>
      </w:tr>
      <w:tr>
        <w:tc>
          <w:tcPr>
            <w:tcW w:type="dxa" w:w="2721"/>
          </w:tcPr>
          <w:p>
            <w:pPr>
              <w:spacing w:after="40"/>
            </w:pPr>
            <w:r>
              <w:rPr>
                <w:rFonts w:ascii="Calibri" w:hAnsi="Calibri"/>
                <w:color w:val="111827"/>
                <w:sz w:val="19"/>
              </w:rPr>
              <w:t>Archivos que existían desaparecieron del disco</w:t>
            </w:r>
          </w:p>
        </w:tc>
        <w:tc>
          <w:tcPr>
            <w:tcW w:type="dxa" w:w="2608"/>
          </w:tcPr>
          <w:p>
            <w:pPr>
              <w:spacing w:after="40"/>
            </w:pPr>
            <w:r>
              <w:rPr>
                <w:rFonts w:ascii="Calibri" w:hAnsi="Calibri"/>
                <w:color w:val="111827"/>
                <w:sz w:val="19"/>
              </w:rPr>
              <w:t>La rama se creó desde un punto anterior a la incorporación que los trajo.</w:t>
            </w:r>
          </w:p>
        </w:tc>
        <w:tc>
          <w:tcPr>
            <w:tcW w:type="dxa" w:w="3855"/>
          </w:tcPr>
          <w:p>
            <w:pPr>
              <w:spacing w:after="40"/>
            </w:pPr>
            <w:r>
              <w:rPr>
                <w:rFonts w:ascii="Calibri" w:hAnsi="Calibri"/>
                <w:color w:val="111827"/>
                <w:sz w:val="19"/>
              </w:rPr>
              <w:t>Partir siempre de la rama principal actualizada antes de crear una rama nueva.</w:t>
            </w:r>
          </w:p>
        </w:tc>
      </w:tr>
    </w:tbl>
    <w:p>
      <w:pPr>
        <w:spacing w:after="40"/>
      </w:pPr>
    </w:p>
    <w:p>
      <w:r>
        <w:br w:type="page"/>
      </w:r>
    </w:p>
    <w:p>
      <w:pPr>
        <w:spacing w:before="360" w:after="160"/>
        <w:pBdr>
          <w:bottom w:val="single" w:sz="6" w:color="0B6B57"/>
        </w:pBdr>
      </w:pPr>
      <w:r>
        <w:rPr>
          <w:rFonts w:ascii="Calibri" w:hAnsi="Calibri"/>
          <w:b/>
          <w:color w:val="0A5647"/>
          <w:sz w:val="30"/>
        </w:rPr>
        <w:t>11. Mantenimiento</w:t>
      </w:r>
    </w:p>
    <w:p>
      <w:pPr>
        <w:spacing w:before="240" w:after="80"/>
      </w:pPr>
      <w:r>
        <w:rPr>
          <w:rFonts w:ascii="Calibri" w:hAnsi="Calibri"/>
          <w:b/>
          <w:color w:val="0B6B57"/>
          <w:sz w:val="24"/>
        </w:rPr>
        <w:t>11.1  Agregar un módulo nuevo</w:t>
      </w:r>
    </w:p>
    <w:p>
      <w:pPr>
        <w:spacing w:before="0" w:after="120"/>
      </w:pPr>
      <w:r>
        <w:rPr>
          <w:rFonts w:ascii="Calibri" w:hAnsi="Calibri"/>
          <w:b w:val="0"/>
          <w:color w:val="111827"/>
          <w:sz w:val="21"/>
        </w:rPr>
        <w:t>Los 13 módulos actuales siguen la misma forma. Al agregar el siguiente hay que replicarla completa: omitir un paso produce fallos que aparecen lejos de su causa.</w:t>
      </w:r>
    </w:p>
    <w:p>
      <w:pPr>
        <w:spacing w:after="80"/>
        <w:ind w:left="454"/>
      </w:pPr>
      <w:r>
        <w:rPr>
          <w:rFonts w:ascii="Calibri" w:hAnsi="Calibri"/>
          <w:b/>
          <w:color w:val="0B6B57"/>
        </w:rPr>
        <w:t>1.  Declarar el modelo en /prisma/schema.prisma, crear la migración y ejecutar npx prisma generate. Avisar antes al equipo: la base es compartida.</w:t>
      </w:r>
      <w:r>
        <w:rPr>
          <w:rFonts w:ascii="Calibri" w:hAnsi="Calibri"/>
          <w:sz w:val="21"/>
        </w:rPr>
      </w:r>
    </w:p>
    <w:p>
      <w:pPr>
        <w:spacing w:after="80"/>
        <w:ind w:left="454"/>
      </w:pPr>
      <w:r>
        <w:rPr>
          <w:rFonts w:ascii="Calibri" w:hAnsi="Calibri"/>
          <w:b/>
          <w:color w:val="0B6B57"/>
        </w:rPr>
        <w:t>2.  Crear el módulo en el servidor con su ruta, su validador, su controlador, su servicio y su repositorio, en ese orden de dependencia. Ningún controlador consulta la base directamente.</w:t>
      </w:r>
      <w:r>
        <w:rPr>
          <w:rFonts w:ascii="Calibri" w:hAnsi="Calibri"/>
          <w:sz w:val="21"/>
        </w:rPr>
      </w:r>
    </w:p>
    <w:p>
      <w:pPr>
        <w:spacing w:after="80"/>
        <w:ind w:left="454"/>
      </w:pPr>
      <w:r>
        <w:rPr>
          <w:rFonts w:ascii="Calibri" w:hAnsi="Calibri"/>
          <w:b/>
          <w:color w:val="0B6B57"/>
        </w:rPr>
        <w:t>3.  Declarar en la ruta los middlewares de autenticación, de rol y, cuando el recurso pueda pertenecer a un cliente, el de propiedad. Es lo que evita que se repita el hallazgo SEG-02.</w:t>
      </w:r>
      <w:r>
        <w:rPr>
          <w:rFonts w:ascii="Calibri" w:hAnsi="Calibri"/>
          <w:sz w:val="21"/>
        </w:rPr>
      </w:r>
    </w:p>
    <w:p>
      <w:pPr>
        <w:spacing w:after="80"/>
        <w:ind w:left="454"/>
      </w:pPr>
      <w:r>
        <w:rPr>
          <w:rFonts w:ascii="Calibri" w:hAnsi="Calibri"/>
          <w:b/>
          <w:color w:val="0B6B57"/>
        </w:rPr>
        <w:t>4.  Escribir el validador de entrada antes que la lógica: toda entrada se valida antes de llegar al servicio (RNF-010).</w:t>
      </w:r>
      <w:r>
        <w:rPr>
          <w:rFonts w:ascii="Calibri" w:hAnsi="Calibri"/>
          <w:sz w:val="21"/>
        </w:rPr>
      </w:r>
    </w:p>
    <w:p>
      <w:pPr>
        <w:spacing w:after="80"/>
        <w:ind w:left="454"/>
      </w:pPr>
      <w:r>
        <w:rPr>
          <w:rFonts w:ascii="Calibri" w:hAnsi="Calibri"/>
          <w:b/>
          <w:color w:val="0B6B57"/>
        </w:rPr>
        <w:t>5.  Si el módulo cambia el estado de una orden, escribir el cambio y su asiento de auditoría dentro de la misma transacción (RNF-011).</w:t>
      </w:r>
      <w:r>
        <w:rPr>
          <w:rFonts w:ascii="Calibri" w:hAnsi="Calibri"/>
          <w:sz w:val="21"/>
        </w:rPr>
      </w:r>
    </w:p>
    <w:p>
      <w:pPr>
        <w:spacing w:after="80"/>
        <w:ind w:left="454"/>
      </w:pPr>
      <w:r>
        <w:rPr>
          <w:rFonts w:ascii="Calibri" w:hAnsi="Calibri"/>
          <w:b/>
          <w:color w:val="0B6B57"/>
        </w:rPr>
        <w:t>6.  Agregar los endpoints al catálogo de la API del documento de Arquitectura (ADSO-ARQ-01) y a la matriz de trazabilidad.</w:t>
      </w:r>
      <w:r>
        <w:rPr>
          <w:rFonts w:ascii="Calibri" w:hAnsi="Calibri"/>
          <w:sz w:val="21"/>
        </w:rPr>
      </w:r>
    </w:p>
    <w:p>
      <w:pPr>
        <w:spacing w:after="80"/>
        <w:ind w:left="454"/>
      </w:pPr>
      <w:r>
        <w:rPr>
          <w:rFonts w:ascii="Calibri" w:hAnsi="Calibri"/>
          <w:b/>
          <w:color w:val="0B6B57"/>
        </w:rPr>
        <w:t>7.  Si el módulo tiene pantalla, agregar la ruta protegida en el cliente y el enlace en la navegación del rol al que le corresponda.</w:t>
      </w:r>
      <w:r>
        <w:rPr>
          <w:rFonts w:ascii="Calibri" w:hAnsi="Calibri"/>
          <w:sz w:val="21"/>
        </w:rPr>
      </w:r>
    </w:p>
    <w:p>
      <w:pPr>
        <w:spacing w:before="240" w:after="80"/>
      </w:pPr>
      <w:r>
        <w:rPr>
          <w:rFonts w:ascii="Calibri" w:hAnsi="Calibri"/>
          <w:b/>
          <w:color w:val="0B6B57"/>
          <w:sz w:val="24"/>
        </w:rPr>
        <w:t>11.2  Verificar que el código y el esquema siguen alineados</w:t>
      </w:r>
    </w:p>
    <w:p>
      <w:pPr>
        <w:spacing w:before="0" w:after="120"/>
      </w:pPr>
      <w:r>
        <w:rPr>
          <w:rFonts w:ascii="Calibri" w:hAnsi="Calibri"/>
          <w:b w:val="0"/>
          <w:color w:val="111827"/>
          <w:sz w:val="21"/>
        </w:rPr>
        <w:t>Con Prisma la comprobación no necesita un guion propio: npx prisma migrate status informa si la base tiene aplicadas todas las migraciones del repositorio, y npx prisma generate vuelve a tipar el cliente contra el esquema. Las dos hay que ejecutarlas después de cambiar de rama.</w:t>
      </w: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Cambiar de rama no cambia la base de datos</w:t>
            </w:r>
            <w:r>
              <w:rPr>
                <w:rFonts w:ascii="Calibri" w:hAnsi="Calibri"/>
                <w:color w:val="374151"/>
                <w:sz w:val="20"/>
              </w:rPr>
            </w:r>
          </w:p>
          <w:p>
            <w:r>
              <w:rPr>
                <w:rFonts w:ascii="Calibri" w:hAnsi="Calibri"/>
                <w:b/>
                <w:color w:val="B45309"/>
                <w:sz w:val="21"/>
              </w:rPr>
              <w:t>El esquema vive en el repositorio, pero las tablas viven en Neon. Al cambiar a una rama con migraciones distintas, el código espera un esquema que la base puede no tener. Ejecutar migrate status y generate después de cada cambio de rama ahorra una tarde de buscar un fallo donde no está.</w:t>
            </w:r>
            <w:r>
              <w:rPr>
                <w:rFonts w:ascii="Calibri" w:hAnsi="Calibri"/>
                <w:color w:val="374151"/>
                <w:sz w:val="20"/>
              </w:rPr>
            </w:r>
          </w:p>
        </w:tc>
      </w:tr>
    </w:tbl>
    <w:p>
      <w:pPr>
        <w:spacing w:after="40"/>
      </w:pPr>
    </w:p>
    <w:p>
      <w:pPr>
        <w:spacing w:before="240" w:after="80"/>
      </w:pPr>
      <w:r>
        <w:rPr>
          <w:rFonts w:ascii="Calibri" w:hAnsi="Calibri"/>
          <w:b/>
          <w:color w:val="0B6B57"/>
          <w:sz w:val="24"/>
        </w:rPr>
        <w:t>11.3  Tareas periódicas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0B6B57"/>
          </w:tcPr>
          <w:p>
            <w:pPr>
              <w:spacing w:after="40"/>
            </w:pPr>
            <w:r>
              <w:rPr>
                <w:rFonts w:ascii="Calibri" w:hAnsi="Calibri"/>
                <w:b/>
                <w:color w:val="FFFFFF"/>
                <w:sz w:val="19"/>
              </w:rPr>
              <w:t>Tarea</w:t>
            </w:r>
          </w:p>
        </w:tc>
        <w:tc>
          <w:tcPr>
            <w:tcW w:type="dxa" w:w="2041"/>
            <w:shd w:val="clear" w:fill="0B6B57"/>
          </w:tcPr>
          <w:p>
            <w:pPr>
              <w:spacing w:after="40"/>
            </w:pPr>
            <w:r>
              <w:rPr>
                <w:rFonts w:ascii="Calibri" w:hAnsi="Calibri"/>
                <w:b/>
                <w:color w:val="FFFFFF"/>
                <w:sz w:val="19"/>
              </w:rPr>
              <w:t>Frecuencia</w:t>
            </w:r>
          </w:p>
        </w:tc>
        <w:tc>
          <w:tcPr>
            <w:tcW w:type="dxa" w:w="4876"/>
            <w:shd w:val="clear" w:fill="0B6B57"/>
          </w:tcPr>
          <w:p>
            <w:pPr>
              <w:spacing w:after="40"/>
            </w:pPr>
            <w:r>
              <w:rPr>
                <w:rFonts w:ascii="Calibri" w:hAnsi="Calibri"/>
                <w:b/>
                <w:color w:val="FFFFFF"/>
                <w:sz w:val="19"/>
              </w:rPr>
              <w:t>Detalle</w:t>
            </w:r>
          </w:p>
        </w:tc>
      </w:tr>
      <w:tr>
        <w:tc>
          <w:tcPr>
            <w:tcW w:type="dxa" w:w="2268"/>
          </w:tcPr>
          <w:p>
            <w:pPr>
              <w:spacing w:after="40"/>
            </w:pPr>
            <w:r>
              <w:rPr>
                <w:rFonts w:ascii="Calibri" w:hAnsi="Calibri"/>
                <w:color w:val="111827"/>
                <w:sz w:val="19"/>
              </w:rPr>
              <w:t>Comprobar el estado de las migraciones</w:t>
            </w:r>
          </w:p>
        </w:tc>
        <w:tc>
          <w:tcPr>
            <w:tcW w:type="dxa" w:w="2041"/>
          </w:tcPr>
          <w:p>
            <w:pPr>
              <w:spacing w:after="40"/>
            </w:pPr>
            <w:r>
              <w:rPr>
                <w:rFonts w:ascii="Calibri" w:hAnsi="Calibri"/>
                <w:color w:val="111827"/>
                <w:sz w:val="19"/>
              </w:rPr>
              <w:t>Antes de cada sesión de trabajo</w:t>
            </w:r>
          </w:p>
        </w:tc>
        <w:tc>
          <w:tcPr>
            <w:tcW w:type="dxa" w:w="4876"/>
          </w:tcPr>
          <w:p>
            <w:pPr>
              <w:spacing w:after="40"/>
            </w:pPr>
            <w:r>
              <w:rPr>
                <w:rFonts w:ascii="Calibri" w:hAnsi="Calibri"/>
                <w:color w:val="111827"/>
                <w:sz w:val="19"/>
              </w:rPr>
              <w:t>npx prisma migrate status. Es lo primero que hay que mirar cuando algo falla sin motivo aparente.</w:t>
            </w:r>
          </w:p>
        </w:tc>
      </w:tr>
      <w:tr>
        <w:tc>
          <w:tcPr>
            <w:tcW w:type="dxa" w:w="2268"/>
          </w:tcPr>
          <w:p>
            <w:pPr>
              <w:spacing w:after="40"/>
            </w:pPr>
            <w:r>
              <w:rPr>
                <w:rFonts w:ascii="Calibri" w:hAnsi="Calibri"/>
                <w:color w:val="111827"/>
                <w:sz w:val="19"/>
              </w:rPr>
              <w:t>Recorrer a mano los flujos principales</w:t>
            </w:r>
          </w:p>
        </w:tc>
        <w:tc>
          <w:tcPr>
            <w:tcW w:type="dxa" w:w="2041"/>
          </w:tcPr>
          <w:p>
            <w:pPr>
              <w:spacing w:after="40"/>
            </w:pPr>
            <w:r>
              <w:rPr>
                <w:rFonts w:ascii="Calibri" w:hAnsi="Calibri"/>
                <w:color w:val="111827"/>
                <w:sz w:val="19"/>
              </w:rPr>
              <w:t>Antes de cada entrega</w:t>
            </w:r>
          </w:p>
        </w:tc>
        <w:tc>
          <w:tcPr>
            <w:tcW w:type="dxa" w:w="4876"/>
          </w:tcPr>
          <w:p>
            <w:pPr>
              <w:spacing w:after="40"/>
            </w:pPr>
            <w:r>
              <w:rPr>
                <w:rFonts w:ascii="Calibri" w:hAnsi="Calibri"/>
                <w:color w:val="111827"/>
                <w:sz w:val="19"/>
              </w:rPr>
              <w:t>No hay pruebas automatizadas (DT-07): la verificación es el recorrido de ocho pasos del Plan de Calidad.</w:t>
            </w:r>
          </w:p>
        </w:tc>
      </w:tr>
      <w:tr>
        <w:tc>
          <w:tcPr>
            <w:tcW w:type="dxa" w:w="2268"/>
          </w:tcPr>
          <w:p>
            <w:pPr>
              <w:spacing w:after="40"/>
            </w:pPr>
            <w:r>
              <w:rPr>
                <w:rFonts w:ascii="Calibri" w:hAnsi="Calibri"/>
                <w:color w:val="111827"/>
                <w:sz w:val="19"/>
              </w:rPr>
              <w:t>Revisar dependencias vencidas</w:t>
            </w:r>
          </w:p>
        </w:tc>
        <w:tc>
          <w:tcPr>
            <w:tcW w:type="dxa" w:w="2041"/>
          </w:tcPr>
          <w:p>
            <w:pPr>
              <w:spacing w:after="40"/>
            </w:pPr>
            <w:r>
              <w:rPr>
                <w:rFonts w:ascii="Calibri" w:hAnsi="Calibri"/>
                <w:color w:val="111827"/>
                <w:sz w:val="19"/>
              </w:rPr>
              <w:t>Mensual</w:t>
            </w:r>
          </w:p>
        </w:tc>
        <w:tc>
          <w:tcPr>
            <w:tcW w:type="dxa" w:w="4876"/>
          </w:tcPr>
          <w:p>
            <w:pPr>
              <w:spacing w:after="40"/>
            </w:pPr>
            <w:r>
              <w:rPr>
                <w:rFonts w:ascii="Calibri" w:hAnsi="Calibri"/>
                <w:color w:val="111827"/>
                <w:sz w:val="19"/>
              </w:rPr>
              <w:t>npm outdated en la raíz y dentro de frontend.</w:t>
            </w:r>
          </w:p>
        </w:tc>
      </w:tr>
      <w:tr>
        <w:tc>
          <w:tcPr>
            <w:tcW w:type="dxa" w:w="2268"/>
          </w:tcPr>
          <w:p>
            <w:pPr>
              <w:spacing w:after="40"/>
            </w:pPr>
            <w:r>
              <w:rPr>
                <w:rFonts w:ascii="Calibri" w:hAnsi="Calibri"/>
                <w:color w:val="111827"/>
                <w:sz w:val="19"/>
              </w:rPr>
              <w:t>Rotar el secreto de firma</w:t>
            </w:r>
          </w:p>
        </w:tc>
        <w:tc>
          <w:tcPr>
            <w:tcW w:type="dxa" w:w="2041"/>
          </w:tcPr>
          <w:p>
            <w:pPr>
              <w:spacing w:after="40"/>
            </w:pPr>
            <w:r>
              <w:rPr>
                <w:rFonts w:ascii="Calibri" w:hAnsi="Calibri"/>
                <w:color w:val="111827"/>
                <w:sz w:val="19"/>
              </w:rPr>
              <w:t>Ante sospecha o cambio de integrantes</w:t>
            </w:r>
          </w:p>
        </w:tc>
        <w:tc>
          <w:tcPr>
            <w:tcW w:type="dxa" w:w="4876"/>
          </w:tcPr>
          <w:p>
            <w:pPr>
              <w:spacing w:after="40"/>
            </w:pPr>
            <w:r>
              <w:rPr>
                <w:rFonts w:ascii="Calibri" w:hAnsi="Calibri"/>
                <w:color w:val="111827"/>
                <w:sz w:val="19"/>
              </w:rPr>
              <w:t>Al cambiarlo, todas las sesiones activas quedan inválidas y hay que volver a entrar. No se pierde ningún dato.</w:t>
            </w:r>
          </w:p>
        </w:tc>
      </w:tr>
      <w:tr>
        <w:tc>
          <w:tcPr>
            <w:tcW w:type="dxa" w:w="2268"/>
          </w:tcPr>
          <w:p>
            <w:pPr>
              <w:spacing w:after="40"/>
            </w:pPr>
            <w:r>
              <w:rPr>
                <w:rFonts w:ascii="Calibri" w:hAnsi="Calibri"/>
                <w:color w:val="111827"/>
                <w:sz w:val="19"/>
              </w:rPr>
              <w:t>Depurar tokens de correo vencidos</w:t>
            </w:r>
          </w:p>
        </w:tc>
        <w:tc>
          <w:tcPr>
            <w:tcW w:type="dxa" w:w="2041"/>
          </w:tcPr>
          <w:p>
            <w:pPr>
              <w:spacing w:after="40"/>
            </w:pPr>
            <w:r>
              <w:rPr>
                <w:rFonts w:ascii="Calibri" w:hAnsi="Calibri"/>
                <w:color w:val="111827"/>
                <w:sz w:val="19"/>
              </w:rPr>
              <w:t>Mensual</w:t>
            </w:r>
          </w:p>
        </w:tc>
        <w:tc>
          <w:tcPr>
            <w:tcW w:type="dxa" w:w="4876"/>
          </w:tcPr>
          <w:p>
            <w:pPr>
              <w:spacing w:after="40"/>
            </w:pPr>
            <w:r>
              <w:rPr>
                <w:rFonts w:ascii="Calibri" w:hAnsi="Calibri"/>
                <w:color w:val="111827"/>
                <w:sz w:val="19"/>
              </w:rPr>
              <w:t>Los tokens de recuperación y verificación caducan pero permanecen en la tabla tokens_seguridad. Se pueden borrar los ya expirados.</w:t>
            </w:r>
          </w:p>
        </w:tc>
      </w:tr>
      <w:tr>
        <w:tc>
          <w:tcPr>
            <w:tcW w:type="dxa" w:w="2268"/>
          </w:tcPr>
          <w:p>
            <w:pPr>
              <w:spacing w:after="40"/>
            </w:pPr>
            <w:r>
              <w:rPr>
                <w:rFonts w:ascii="Calibri" w:hAnsi="Calibri"/>
                <w:color w:val="111827"/>
                <w:sz w:val="19"/>
              </w:rPr>
              <w:t>Revisar el historial de estados de las órdenes</w:t>
            </w:r>
          </w:p>
        </w:tc>
        <w:tc>
          <w:tcPr>
            <w:tcW w:type="dxa" w:w="2041"/>
          </w:tcPr>
          <w:p>
            <w:pPr>
              <w:spacing w:after="40"/>
            </w:pPr>
            <w:r>
              <w:rPr>
                <w:rFonts w:ascii="Calibri" w:hAnsi="Calibri"/>
                <w:color w:val="111827"/>
                <w:sz w:val="19"/>
              </w:rPr>
              <w:t>Semanal</w:t>
            </w:r>
          </w:p>
        </w:tc>
        <w:tc>
          <w:tcPr>
            <w:tcW w:type="dxa" w:w="4876"/>
          </w:tcPr>
          <w:p>
            <w:pPr>
              <w:spacing w:after="40"/>
            </w:pPr>
            <w:r>
              <w:rPr>
                <w:rFonts w:ascii="Calibri" w:hAnsi="Calibri"/>
                <w:color w:val="111827"/>
                <w:sz w:val="19"/>
              </w:rPr>
              <w:t>Buscar cambios que nadie del equipo reconozca. Es la bitácora que deja cada avance (RF-062).</w:t>
            </w:r>
          </w:p>
        </w:tc>
      </w:tr>
    </w:tbl>
    <w:p>
      <w:pPr>
        <w:spacing w:after="40"/>
      </w:pPr>
    </w:p>
    <w:p>
      <w:pPr>
        <w:spacing w:before="240" w:after="80"/>
      </w:pPr>
      <w:r>
        <w:rPr>
          <w:rFonts w:ascii="Calibri" w:hAnsi="Calibri"/>
          <w:b/>
          <w:color w:val="0B6B57"/>
          <w:sz w:val="24"/>
        </w:rPr>
        <w:t>11.4  Límites conocidos de esta versión</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Límite</w:t>
            </w:r>
          </w:p>
        </w:tc>
        <w:tc>
          <w:tcPr>
            <w:tcW w:type="dxa" w:w="6576"/>
            <w:shd w:val="clear" w:fill="0B6B57"/>
          </w:tcPr>
          <w:p>
            <w:pPr>
              <w:spacing w:after="40"/>
            </w:pPr>
            <w:r>
              <w:rPr>
                <w:rFonts w:ascii="Calibri" w:hAnsi="Calibri"/>
                <w:b/>
                <w:color w:val="FFFFFF"/>
                <w:sz w:val="19"/>
              </w:rPr>
              <w:t>Consecuencia práctica</w:t>
            </w:r>
          </w:p>
        </w:tc>
      </w:tr>
      <w:tr>
        <w:tc>
          <w:tcPr>
            <w:tcW w:type="dxa" w:w="2608"/>
          </w:tcPr>
          <w:p>
            <w:pPr>
              <w:spacing w:after="40"/>
            </w:pPr>
            <w:r>
              <w:rPr>
                <w:rFonts w:ascii="Calibri" w:hAnsi="Calibri"/>
                <w:color w:val="111827"/>
                <w:sz w:val="19"/>
              </w:rPr>
              <w:t>Sin pruebas automatizadas ni integración continua (DT-07 y DT-08)</w:t>
            </w:r>
          </w:p>
        </w:tc>
        <w:tc>
          <w:tcPr>
            <w:tcW w:type="dxa" w:w="6576"/>
          </w:tcPr>
          <w:p>
            <w:pPr>
              <w:spacing w:after="40"/>
            </w:pPr>
            <w:r>
              <w:rPr>
                <w:rFonts w:ascii="Calibri" w:hAnsi="Calibri"/>
                <w:color w:val="111827"/>
                <w:sz w:val="19"/>
              </w:rPr>
              <w:t>Nada comprueba de forma automática que un cambio no haya roto lo que ya funcionaba. La verificación es manual.</w:t>
            </w:r>
          </w:p>
        </w:tc>
      </w:tr>
      <w:tr>
        <w:tc>
          <w:tcPr>
            <w:tcW w:type="dxa" w:w="2608"/>
          </w:tcPr>
          <w:p>
            <w:pPr>
              <w:spacing w:after="40"/>
            </w:pPr>
            <w:r>
              <w:rPr>
                <w:rFonts w:ascii="Calibri" w:hAnsi="Calibri"/>
                <w:color w:val="111827"/>
                <w:sz w:val="19"/>
              </w:rPr>
              <w:t>El token de sesión se guarda en el almacenamiento local del navegador (DT-01)</w:t>
            </w:r>
          </w:p>
        </w:tc>
        <w:tc>
          <w:tcPr>
            <w:tcW w:type="dxa" w:w="6576"/>
          </w:tcPr>
          <w:p>
            <w:pPr>
              <w:spacing w:after="40"/>
            </w:pPr>
            <w:r>
              <w:rPr>
                <w:rFonts w:ascii="Calibri" w:hAnsi="Calibri"/>
                <w:color w:val="111827"/>
                <w:sz w:val="19"/>
              </w:rPr>
              <w:t>Es más débil frente a inyección de scripts que una cookie httpOnly. Se aceptó por el plazo de entrega.</w:t>
            </w:r>
          </w:p>
        </w:tc>
      </w:tr>
      <w:tr>
        <w:tc>
          <w:tcPr>
            <w:tcW w:type="dxa" w:w="2608"/>
          </w:tcPr>
          <w:p>
            <w:pPr>
              <w:spacing w:after="40"/>
            </w:pPr>
            <w:r>
              <w:rPr>
                <w:rFonts w:ascii="Calibri" w:hAnsi="Calibri"/>
                <w:color w:val="111827"/>
                <w:sz w:val="19"/>
              </w:rPr>
              <w:t>Sin cabeceras de seguridad ni límite global de peticiones (DT-02)</w:t>
            </w:r>
          </w:p>
        </w:tc>
        <w:tc>
          <w:tcPr>
            <w:tcW w:type="dxa" w:w="6576"/>
          </w:tcPr>
          <w:p>
            <w:pPr>
              <w:spacing w:after="40"/>
            </w:pPr>
            <w:r>
              <w:rPr>
                <w:rFonts w:ascii="Calibri" w:hAnsi="Calibri"/>
                <w:color w:val="111827"/>
                <w:sz w:val="19"/>
              </w:rPr>
              <w:t>El límite de intentos cubre las rutas de recuperación y verificación; el resto de la API no tiene freno.</w:t>
            </w:r>
          </w:p>
        </w:tc>
      </w:tr>
      <w:tr>
        <w:tc>
          <w:tcPr>
            <w:tcW w:type="dxa" w:w="2608"/>
          </w:tcPr>
          <w:p>
            <w:pPr>
              <w:spacing w:after="40"/>
            </w:pPr>
            <w:r>
              <w:rPr>
                <w:rFonts w:ascii="Calibri" w:hAnsi="Calibri"/>
                <w:color w:val="111827"/>
                <w:sz w:val="19"/>
              </w:rPr>
              <w:t>Los listados no están paginados (DT-09)</w:t>
            </w:r>
          </w:p>
        </w:tc>
        <w:tc>
          <w:tcPr>
            <w:tcW w:type="dxa" w:w="6576"/>
          </w:tcPr>
          <w:p>
            <w:pPr>
              <w:spacing w:after="40"/>
            </w:pPr>
            <w:r>
              <w:rPr>
                <w:rFonts w:ascii="Calibri" w:hAnsi="Calibri"/>
                <w:color w:val="111827"/>
                <w:sz w:val="19"/>
              </w:rPr>
              <w:t>Con el volumen de demostración es imperceptible; con miles de órdenes dejaría de serlo.</w:t>
            </w:r>
          </w:p>
        </w:tc>
      </w:tr>
      <w:tr>
        <w:tc>
          <w:tcPr>
            <w:tcW w:type="dxa" w:w="2608"/>
          </w:tcPr>
          <w:p>
            <w:pPr>
              <w:spacing w:after="40"/>
            </w:pPr>
            <w:r>
              <w:rPr>
                <w:rFonts w:ascii="Calibri" w:hAnsi="Calibri"/>
                <w:color w:val="111827"/>
                <w:sz w:val="19"/>
              </w:rPr>
              <w:t>El inventario no se descuenta solo al completar la reparación (DT-04)</w:t>
            </w:r>
          </w:p>
        </w:tc>
        <w:tc>
          <w:tcPr>
            <w:tcW w:type="dxa" w:w="6576"/>
          </w:tcPr>
          <w:p>
            <w:pPr>
              <w:spacing w:after="40"/>
            </w:pPr>
            <w:r>
              <w:rPr>
                <w:rFonts w:ascii="Calibri" w:hAnsi="Calibri"/>
                <w:color w:val="111827"/>
                <w:sz w:val="19"/>
              </w:rPr>
              <w:t>La salida de existencias se registra a mano desde el módulo de inventario.</w:t>
            </w:r>
          </w:p>
        </w:tc>
      </w:tr>
      <w:tr>
        <w:tc>
          <w:tcPr>
            <w:tcW w:type="dxa" w:w="2608"/>
          </w:tcPr>
          <w:p>
            <w:pPr>
              <w:spacing w:after="40"/>
            </w:pPr>
            <w:r>
              <w:rPr>
                <w:rFonts w:ascii="Calibri" w:hAnsi="Calibri"/>
                <w:color w:val="111827"/>
                <w:sz w:val="19"/>
              </w:rPr>
              <w:t>Un solo ambiente</w:t>
            </w:r>
          </w:p>
        </w:tc>
        <w:tc>
          <w:tcPr>
            <w:tcW w:type="dxa" w:w="6576"/>
          </w:tcPr>
          <w:p>
            <w:pPr>
              <w:spacing w:after="40"/>
            </w:pPr>
            <w:r>
              <w:rPr>
                <w:rFonts w:ascii="Calibri" w:hAnsi="Calibri"/>
                <w:color w:val="111827"/>
                <w:sz w:val="19"/>
              </w:rPr>
              <w:t>No hay separación entre pruebas y producción: los tres integrantes trabajan sobre la misma base de datos.</w:t>
            </w:r>
          </w:p>
        </w:tc>
      </w:tr>
    </w:tbl>
    <w:p>
      <w:pPr>
        <w:spacing w:after="40"/>
      </w:pPr>
    </w:p>
    <w:p>
      <w:r>
        <w:br w:type="page"/>
      </w:r>
    </w:p>
    <w:p>
      <w:pPr>
        <w:spacing w:before="360" w:after="160"/>
        <w:pBdr>
          <w:bottom w:val="single" w:sz="6" w:color="0B6B57"/>
        </w:pBdr>
      </w:pPr>
      <w:r>
        <w:rPr>
          <w:rFonts w:ascii="Calibri" w:hAnsi="Calibri"/>
          <w:b/>
          <w:color w:val="0A5647"/>
          <w:sz w:val="30"/>
        </w:rPr>
        <w:t>12. Anexo: comandos de uso frecuente</w:t>
      </w:r>
    </w:p>
    <w:tbl>
      <w:tblPr>
        <w:tblStyle w:val="TableGrid"/>
        <w:tblW w:type="auto" w:w="0"/>
        <w:jc w:val="center"/>
        <w:tblLook w:firstColumn="1" w:firstRow="1" w:lastColumn="0" w:lastRow="0" w:noHBand="0" w:noVBand="1" w:val="04A0"/>
      </w:tblPr>
      <w:tblGrid>
        <w:gridCol w:w="4873"/>
        <w:gridCol w:w="4873"/>
      </w:tblGrid>
      <w:tr>
        <w:tc>
          <w:tcPr>
            <w:tcW w:type="dxa" w:w="2268"/>
            <w:shd w:val="clear" w:fill="0B6B57"/>
          </w:tcPr>
          <w:p>
            <w:pPr>
              <w:spacing w:after="40"/>
            </w:pPr>
            <w:r>
              <w:rPr>
                <w:rFonts w:ascii="Calibri" w:hAnsi="Calibri"/>
                <w:b/>
                <w:color w:val="FFFFFF"/>
                <w:sz w:val="19"/>
              </w:rPr>
              <w:t>Para</w:t>
            </w:r>
          </w:p>
        </w:tc>
        <w:tc>
          <w:tcPr>
            <w:tcW w:type="dxa" w:w="6917"/>
            <w:shd w:val="clear" w:fill="0B6B57"/>
          </w:tcPr>
          <w:p>
            <w:pPr>
              <w:spacing w:after="40"/>
            </w:pPr>
            <w:r>
              <w:rPr>
                <w:rFonts w:ascii="Calibri" w:hAnsi="Calibri"/>
                <w:b/>
                <w:color w:val="FFFFFF"/>
                <w:sz w:val="19"/>
              </w:rPr>
              <w:t>Comando</w:t>
            </w:r>
          </w:p>
        </w:tc>
      </w:tr>
      <w:tr>
        <w:tc>
          <w:tcPr>
            <w:tcW w:type="dxa" w:w="2268"/>
          </w:tcPr>
          <w:p>
            <w:pPr>
              <w:spacing w:after="40"/>
            </w:pPr>
            <w:r>
              <w:rPr>
                <w:rFonts w:ascii="Calibri" w:hAnsi="Calibri"/>
                <w:color w:val="111827"/>
                <w:sz w:val="19"/>
              </w:rPr>
              <w:t>Instalar dependencias del servidor</w:t>
            </w:r>
          </w:p>
        </w:tc>
        <w:tc>
          <w:tcPr>
            <w:tcW w:type="dxa" w:w="6917"/>
          </w:tcPr>
          <w:p>
            <w:pPr>
              <w:spacing w:after="40"/>
            </w:pPr>
            <w:r>
              <w:rPr>
                <w:rFonts w:ascii="Calibri" w:hAnsi="Calibri"/>
                <w:color w:val="111827"/>
                <w:sz w:val="19"/>
              </w:rPr>
              <w:t>npm install</w:t>
            </w:r>
          </w:p>
        </w:tc>
      </w:tr>
      <w:tr>
        <w:tc>
          <w:tcPr>
            <w:tcW w:type="dxa" w:w="2268"/>
          </w:tcPr>
          <w:p>
            <w:pPr>
              <w:spacing w:after="40"/>
            </w:pPr>
            <w:r>
              <w:rPr>
                <w:rFonts w:ascii="Calibri" w:hAnsi="Calibri"/>
                <w:color w:val="111827"/>
                <w:sz w:val="19"/>
              </w:rPr>
              <w:t>Generar el cliente de Prisma</w:t>
            </w:r>
          </w:p>
        </w:tc>
        <w:tc>
          <w:tcPr>
            <w:tcW w:type="dxa" w:w="6917"/>
          </w:tcPr>
          <w:p>
            <w:pPr>
              <w:spacing w:after="40"/>
            </w:pPr>
            <w:r>
              <w:rPr>
                <w:rFonts w:ascii="Calibri" w:hAnsi="Calibri"/>
                <w:color w:val="111827"/>
                <w:sz w:val="19"/>
              </w:rPr>
              <w:t>npx prisma generate</w:t>
            </w:r>
          </w:p>
        </w:tc>
      </w:tr>
      <w:tr>
        <w:tc>
          <w:tcPr>
            <w:tcW w:type="dxa" w:w="2268"/>
          </w:tcPr>
          <w:p>
            <w:pPr>
              <w:spacing w:after="40"/>
            </w:pPr>
            <w:r>
              <w:rPr>
                <w:rFonts w:ascii="Calibri" w:hAnsi="Calibri"/>
                <w:color w:val="111827"/>
                <w:sz w:val="19"/>
              </w:rPr>
              <w:t>Aplicar migraciones</w:t>
            </w:r>
          </w:p>
        </w:tc>
        <w:tc>
          <w:tcPr>
            <w:tcW w:type="dxa" w:w="6917"/>
          </w:tcPr>
          <w:p>
            <w:pPr>
              <w:spacing w:after="40"/>
            </w:pPr>
            <w:r>
              <w:rPr>
                <w:rFonts w:ascii="Calibri" w:hAnsi="Calibri"/>
                <w:color w:val="111827"/>
                <w:sz w:val="19"/>
              </w:rPr>
              <w:t>npx prisma migrate dev      (nunca aceptar el reinicio)</w:t>
            </w:r>
          </w:p>
        </w:tc>
      </w:tr>
      <w:tr>
        <w:tc>
          <w:tcPr>
            <w:tcW w:type="dxa" w:w="2268"/>
          </w:tcPr>
          <w:p>
            <w:pPr>
              <w:spacing w:after="40"/>
            </w:pPr>
            <w:r>
              <w:rPr>
                <w:rFonts w:ascii="Calibri" w:hAnsi="Calibri"/>
                <w:color w:val="111827"/>
                <w:sz w:val="19"/>
              </w:rPr>
              <w:t>Ver el estado de las migraciones</w:t>
            </w:r>
          </w:p>
        </w:tc>
        <w:tc>
          <w:tcPr>
            <w:tcW w:type="dxa" w:w="6917"/>
          </w:tcPr>
          <w:p>
            <w:pPr>
              <w:spacing w:after="40"/>
            </w:pPr>
            <w:r>
              <w:rPr>
                <w:rFonts w:ascii="Calibri" w:hAnsi="Calibri"/>
                <w:color w:val="111827"/>
                <w:sz w:val="19"/>
              </w:rPr>
              <w:t>npx prisma migrate status</w:t>
            </w:r>
          </w:p>
        </w:tc>
      </w:tr>
      <w:tr>
        <w:tc>
          <w:tcPr>
            <w:tcW w:type="dxa" w:w="2268"/>
          </w:tcPr>
          <w:p>
            <w:pPr>
              <w:spacing w:after="40"/>
            </w:pPr>
            <w:r>
              <w:rPr>
                <w:rFonts w:ascii="Calibri" w:hAnsi="Calibri"/>
                <w:color w:val="111827"/>
                <w:sz w:val="19"/>
              </w:rPr>
              <w:t>Cargar los datos de demostración</w:t>
            </w:r>
          </w:p>
        </w:tc>
        <w:tc>
          <w:tcPr>
            <w:tcW w:type="dxa" w:w="6917"/>
          </w:tcPr>
          <w:p>
            <w:pPr>
              <w:spacing w:after="40"/>
            </w:pPr>
            <w:r>
              <w:rPr>
                <w:rFonts w:ascii="Calibri" w:hAnsi="Calibri"/>
                <w:color w:val="111827"/>
                <w:sz w:val="19"/>
              </w:rPr>
              <w:t>npm run db:seed</w:t>
            </w:r>
          </w:p>
        </w:tc>
      </w:tr>
      <w:tr>
        <w:tc>
          <w:tcPr>
            <w:tcW w:type="dxa" w:w="2268"/>
          </w:tcPr>
          <w:p>
            <w:pPr>
              <w:spacing w:after="40"/>
            </w:pPr>
            <w:r>
              <w:rPr>
                <w:rFonts w:ascii="Calibri" w:hAnsi="Calibri"/>
                <w:color w:val="111827"/>
                <w:sz w:val="19"/>
              </w:rPr>
              <w:t>Arrancar el servidor en desarrollo</w:t>
            </w:r>
          </w:p>
        </w:tc>
        <w:tc>
          <w:tcPr>
            <w:tcW w:type="dxa" w:w="6917"/>
          </w:tcPr>
          <w:p>
            <w:pPr>
              <w:spacing w:after="40"/>
            </w:pPr>
            <w:r>
              <w:rPr>
                <w:rFonts w:ascii="Calibri" w:hAnsi="Calibri"/>
                <w:color w:val="111827"/>
                <w:sz w:val="19"/>
              </w:rPr>
              <w:t>npm run dev</w:t>
            </w:r>
          </w:p>
        </w:tc>
      </w:tr>
      <w:tr>
        <w:tc>
          <w:tcPr>
            <w:tcW w:type="dxa" w:w="2268"/>
          </w:tcPr>
          <w:p>
            <w:pPr>
              <w:spacing w:after="40"/>
            </w:pPr>
            <w:r>
              <w:rPr>
                <w:rFonts w:ascii="Calibri" w:hAnsi="Calibri"/>
                <w:color w:val="111827"/>
                <w:sz w:val="19"/>
              </w:rPr>
              <w:t>Arrancar el servidor en producción</w:t>
            </w:r>
          </w:p>
        </w:tc>
        <w:tc>
          <w:tcPr>
            <w:tcW w:type="dxa" w:w="6917"/>
          </w:tcPr>
          <w:p>
            <w:pPr>
              <w:spacing w:after="40"/>
            </w:pPr>
            <w:r>
              <w:rPr>
                <w:rFonts w:ascii="Calibri" w:hAnsi="Calibri"/>
                <w:color w:val="111827"/>
                <w:sz w:val="19"/>
              </w:rPr>
              <w:t>npm start</w:t>
            </w:r>
          </w:p>
        </w:tc>
      </w:tr>
      <w:tr>
        <w:tc>
          <w:tcPr>
            <w:tcW w:type="dxa" w:w="2268"/>
          </w:tcPr>
          <w:p>
            <w:pPr>
              <w:spacing w:after="40"/>
            </w:pPr>
            <w:r>
              <w:rPr>
                <w:rFonts w:ascii="Calibri" w:hAnsi="Calibri"/>
                <w:color w:val="111827"/>
                <w:sz w:val="19"/>
              </w:rPr>
              <w:t>Arrancar el cliente</w:t>
            </w:r>
          </w:p>
        </w:tc>
        <w:tc>
          <w:tcPr>
            <w:tcW w:type="dxa" w:w="6917"/>
          </w:tcPr>
          <w:p>
            <w:pPr>
              <w:spacing w:after="40"/>
            </w:pPr>
            <w:r>
              <w:rPr>
                <w:rFonts w:ascii="Calibri" w:hAnsi="Calibri"/>
                <w:color w:val="111827"/>
                <w:sz w:val="19"/>
              </w:rPr>
              <w:t>cd frontend &amp;&amp; npm run dev</w:t>
            </w:r>
          </w:p>
        </w:tc>
      </w:tr>
      <w:tr>
        <w:tc>
          <w:tcPr>
            <w:tcW w:type="dxa" w:w="2268"/>
          </w:tcPr>
          <w:p>
            <w:pPr>
              <w:spacing w:after="40"/>
            </w:pPr>
            <w:r>
              <w:rPr>
                <w:rFonts w:ascii="Calibri" w:hAnsi="Calibri"/>
                <w:color w:val="111827"/>
                <w:sz w:val="19"/>
              </w:rPr>
              <w:t>Compilar el cliente</w:t>
            </w:r>
          </w:p>
        </w:tc>
        <w:tc>
          <w:tcPr>
            <w:tcW w:type="dxa" w:w="6917"/>
          </w:tcPr>
          <w:p>
            <w:pPr>
              <w:spacing w:after="40"/>
            </w:pPr>
            <w:r>
              <w:rPr>
                <w:rFonts w:ascii="Calibri" w:hAnsi="Calibri"/>
                <w:color w:val="111827"/>
                <w:sz w:val="19"/>
              </w:rPr>
              <w:t>cd frontend &amp;&amp; npm run build</w:t>
            </w:r>
          </w:p>
        </w:tc>
      </w:tr>
      <w:tr>
        <w:tc>
          <w:tcPr>
            <w:tcW w:type="dxa" w:w="2268"/>
          </w:tcPr>
          <w:p>
            <w:pPr>
              <w:spacing w:after="40"/>
            </w:pPr>
            <w:r>
              <w:rPr>
                <w:rFonts w:ascii="Calibri" w:hAnsi="Calibri"/>
                <w:color w:val="111827"/>
                <w:sz w:val="19"/>
              </w:rPr>
              <w:t>Comprobar el servicio</w:t>
            </w:r>
          </w:p>
        </w:tc>
        <w:tc>
          <w:tcPr>
            <w:tcW w:type="dxa" w:w="6917"/>
          </w:tcPr>
          <w:p>
            <w:pPr>
              <w:spacing w:after="40"/>
            </w:pPr>
            <w:r>
              <w:rPr>
                <w:rFonts w:ascii="Calibri" w:hAnsi="Calibri"/>
                <w:color w:val="111827"/>
                <w:sz w:val="19"/>
              </w:rPr>
              <w:t>curl http://localhost:3001/api/health</w:t>
            </w:r>
          </w:p>
        </w:tc>
      </w:tr>
      <w:tr>
        <w:tc>
          <w:tcPr>
            <w:tcW w:type="dxa" w:w="2268"/>
          </w:tcPr>
          <w:p>
            <w:pPr>
              <w:spacing w:after="40"/>
            </w:pPr>
            <w:r>
              <w:rPr>
                <w:rFonts w:ascii="Calibri" w:hAnsi="Calibri"/>
                <w:color w:val="111827"/>
                <w:sz w:val="19"/>
              </w:rPr>
              <w:t>Inspeccionar la base de datos</w:t>
            </w:r>
          </w:p>
        </w:tc>
        <w:tc>
          <w:tcPr>
            <w:tcW w:type="dxa" w:w="6917"/>
          </w:tcPr>
          <w:p>
            <w:pPr>
              <w:spacing w:after="40"/>
            </w:pPr>
            <w:r>
              <w:rPr>
                <w:rFonts w:ascii="Calibri" w:hAnsi="Calibri"/>
                <w:color w:val="111827"/>
                <w:sz w:val="19"/>
              </w:rPr>
              <w:t>npx prisma studio</w:t>
            </w:r>
          </w:p>
        </w:tc>
      </w:tr>
    </w:tbl>
    <w:p>
      <w:pPr>
        <w:spacing w:after="40"/>
      </w:pPr>
    </w:p>
    <w:p>
      <w:pPr>
        <w:spacing w:before="0" w:after="120"/>
      </w:pPr>
      <w:r>
        <w:rPr>
          <w:rFonts w:ascii="Calibri" w:hAnsi="Calibri"/>
          <w:b w:val="0"/>
          <w:color w:val="111827"/>
          <w:sz w:val="21"/>
        </w:rPr>
      </w:r>
    </w:p>
    <w:p>
      <w:pPr>
        <w:spacing w:before="0" w:after="120"/>
      </w:pPr>
      <w:r>
        <w:rPr>
          <w:rFonts w:ascii="Calibri" w:hAnsi="Calibri"/>
          <w:b w:val="0"/>
          <w:color w:val="111827"/>
          <w:sz w:val="21"/>
        </w:rPr>
        <w:t>Fin del documento. Manual Técnico y de Operación, ADSO-ADSO-MAN-01, versión 1.5, 11 de septiembre de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