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/>
          <w:b/>
          <w:color w:val="0A5647"/>
          <w:sz w:val="80"/>
        </w:rPr>
        <w:t>SIGTM</w:t>
      </w:r>
    </w:p>
    <w:p>
      <w:pPr>
        <w:jc w:val="center"/>
      </w:pPr>
      <w:r>
        <w:rPr>
          <w:rFonts w:ascii="Calibri" w:hAnsi="Calibri"/>
          <w:color w:val="374151"/>
          <w:sz w:val="28"/>
        </w:rPr>
        <w:t>Sistema de Gestion Financiera Personal</w:t>
      </w:r>
    </w:p>
    <w:p/>
    <w:p>
      <w:pPr>
        <w:jc w:val="center"/>
      </w:pPr>
      <w:r>
        <w:rPr>
          <w:rFonts w:ascii="Calibri" w:hAnsi="Calibri"/>
          <w:b/>
          <w:color w:val="111827"/>
          <w:sz w:val="42"/>
        </w:rPr>
        <w:t>PLAN DE CALIDAD,</w:t>
        <w:br/>
        <w:t>PRUEBAS Y ACEPTACION</w:t>
      </w:r>
    </w:p>
    <w:p>
      <w:pPr>
        <w:jc w:val="center"/>
      </w:pPr>
      <w:r>
        <w:rPr>
          <w:rFonts w:ascii="Calibri" w:hAnsi="Calibri"/>
          <w:color w:val="6B7280"/>
          <w:sz w:val="22"/>
        </w:rPr>
        <w:t>CAL-01  ·  DOC-07</w:t>
      </w:r>
    </w:p>
    <w:p/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608"/>
            <w:shd w:val="clear" w:fill="0B6B5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6576"/>
            <w:shd w:val="clear" w:fill="0B6B5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Informacion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Proyecto</w:t>
            </w:r>
          </w:p>
        </w:tc>
        <w:tc>
          <w:tcPr>
            <w:tcW w:type="dxa" w:w="6576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SIGTM – Sistema Integral de Gestión para Talleres de Motocicletas («Moto Nexus»)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Codigo documental</w:t>
            </w:r>
          </w:p>
        </w:tc>
        <w:tc>
          <w:tcPr>
            <w:tcW w:type="dxa" w:w="6576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ADSO-CAL-01 / DOC-10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Version</w:t>
            </w:r>
          </w:p>
        </w:tc>
        <w:tc>
          <w:tcPr>
            <w:tcW w:type="dxa" w:w="6576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1.5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Fecha</w:t>
            </w:r>
          </w:p>
        </w:tc>
        <w:tc>
          <w:tcPr>
            <w:tcW w:type="dxa" w:w="6576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11 de septiembre de 2026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Responsable</w:t>
            </w:r>
          </w:p>
        </w:tc>
        <w:tc>
          <w:tcPr>
            <w:tcW w:type="dxa" w:w="6576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Harryson [apellidos por completar]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Equipo</w:t>
            </w:r>
          </w:p>
        </w:tc>
        <w:tc>
          <w:tcPr>
            <w:tcW w:type="dxa" w:w="6576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Harryson [apellidos por completar] (líder y backend); Jessica [apellidos por completar] (frontend); Dayana [apellidos por completar] (frontend y UX)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Ficha</w:t>
            </w:r>
          </w:p>
        </w:tc>
        <w:tc>
          <w:tcPr>
            <w:tcW w:type="dxa" w:w="6576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3114227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Instructor</w:t>
            </w:r>
          </w:p>
        </w:tc>
        <w:tc>
          <w:tcPr>
            <w:tcW w:type="dxa" w:w="6576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Juan Carlos Quintero Romero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Estado</w:t>
            </w:r>
          </w:p>
        </w:tc>
        <w:tc>
          <w:tcPr>
            <w:tcW w:type="dxa" w:w="6576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En revision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60" w:after="160"/>
        <w:pBdr>
          <w:bottom w:val="single" w:sz="6" w:color="0B6B57"/>
        </w:pBdr>
      </w:pPr>
      <w:r>
        <w:rPr>
          <w:rFonts w:ascii="Calibri" w:hAnsi="Calibri"/>
          <w:b/>
          <w:color w:val="0A5647"/>
          <w:sz w:val="30"/>
        </w:rPr>
        <w:t>1. Control del documento</w:t>
      </w:r>
    </w:p>
    <w:p>
      <w:pPr>
        <w:spacing w:before="240" w:after="80"/>
      </w:pPr>
      <w:r>
        <w:rPr>
          <w:rFonts w:ascii="Calibri" w:hAnsi="Calibri"/>
          <w:b/>
          <w:color w:val="0B6B57"/>
          <w:sz w:val="24"/>
        </w:rPr>
        <w:t>1.1  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020"/>
            <w:shd w:val="clear" w:fill="0B6B5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1247"/>
            <w:shd w:val="clear" w:fill="0B6B5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4082"/>
            <w:shd w:val="clear" w:fill="0B6B5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Descripcion</w:t>
            </w:r>
          </w:p>
        </w:tc>
        <w:tc>
          <w:tcPr>
            <w:tcW w:type="dxa" w:w="1531"/>
            <w:shd w:val="clear" w:fill="0B6B5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Responsable</w:t>
            </w:r>
          </w:p>
        </w:tc>
        <w:tc>
          <w:tcPr>
            <w:tcW w:type="dxa" w:w="1304"/>
            <w:shd w:val="clear" w:fill="0B6B5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Aprobado por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1.0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05/09/2026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Plan inicial con la estrategia de verificacion manual.</w:t>
            </w:r>
          </w:p>
        </w:tc>
        <w:tc>
          <w:tcPr>
            <w:tcW w:type="dxa" w:w="1531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Harryson [apellidos por completar]</w:t>
            </w:r>
          </w:p>
        </w:tc>
        <w:tc>
          <w:tcPr>
            <w:tcW w:type="dxa" w:w="1304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Pendiente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1.1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11/09/2026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Registro de los ocho hallazgos de seguridad y los defectos corregidos. Declaracion explicita de la ausencia de pruebas automatizadas.</w:t>
            </w:r>
          </w:p>
        </w:tc>
        <w:tc>
          <w:tcPr>
            <w:tcW w:type="dxa" w:w="1531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Harryson [apellidos por completar]</w:t>
            </w:r>
          </w:p>
        </w:tc>
        <w:tc>
          <w:tcPr>
            <w:tcW w:type="dxa" w:w="1304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Pendiente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Calibri" w:hAnsi="Calibri"/>
          <w:b/>
          <w:color w:val="0B6B57"/>
          <w:sz w:val="24"/>
        </w:rPr>
        <w:t>1.2  Aprobacion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94"/>
            <w:shd w:val="clear" w:fill="0B6B5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Rol</w:t>
            </w:r>
          </w:p>
        </w:tc>
        <w:tc>
          <w:tcPr>
            <w:tcW w:type="dxa" w:w="2948"/>
            <w:shd w:val="clear" w:fill="0B6B5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Nombre</w:t>
            </w:r>
          </w:p>
        </w:tc>
        <w:tc>
          <w:tcPr>
            <w:tcW w:type="dxa" w:w="1814"/>
            <w:shd w:val="clear" w:fill="0B6B5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Decision</w:t>
            </w:r>
          </w:p>
        </w:tc>
        <w:tc>
          <w:tcPr>
            <w:tcW w:type="dxa" w:w="1928"/>
            <w:shd w:val="clear" w:fill="0B6B5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Fecha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Responsable de calidad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Harryson [apellidos por completar]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Elaborado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11/09/2026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Instructor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Juan Carlos Quintero Romero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Aprobado / Devuelto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Pendiente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EF3C7"/>
          </w:tcPr>
          <w:p>
            <w:r>
              <w:rPr>
                <w:rFonts w:ascii="Calibri" w:hAnsi="Calibri"/>
                <w:b/>
                <w:color w:val="B45309"/>
                <w:sz w:val="21"/>
              </w:rPr>
              <w:t>Que declara y que no declara este documento</w:t>
            </w:r>
            <w:r>
              <w:rPr>
                <w:rFonts w:ascii="Calibri" w:hAnsi="Calibri"/>
                <w:color w:val="374151"/>
                <w:sz w:val="20"/>
              </w:rPr>
            </w:r>
          </w:p>
          <w:p>
            <w:r>
              <w:rPr>
                <w:rFonts w:ascii="Calibri" w:hAnsi="Calibri"/>
                <w:b/>
                <w:color w:val="B45309"/>
                <w:sz w:val="21"/>
              </w:rPr>
              <w:t>Declara como se verifica que SIGTM hace lo que dice hacer, que se comprobo, con que resultado y que defectos aparecieron. No declara que el producto este libre de fallos: declara exactamente hasta donde llega la comprobacion. En particular, y esto es lo mas importante de esta version: SIGTM NO tiene pruebas automatizadas. Toda la verificacion es manual y queda registrada aqui. Presentar verificacion manual como si fuera cobertura automatizada seria el unico error de calidad que este documento no puede permitirse.</w:t>
            </w:r>
            <w:r>
              <w:rPr>
                <w:rFonts w:ascii="Calibri" w:hAnsi="Calibri"/>
                <w:color w:val="374151"/>
                <w:sz w:val="20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60" w:after="160"/>
        <w:pBdr>
          <w:bottom w:val="single" w:sz="6" w:color="0B6B57"/>
        </w:pBdr>
      </w:pPr>
      <w:r>
        <w:rPr>
          <w:rFonts w:ascii="Calibri" w:hAnsi="Calibri"/>
          <w:b/>
          <w:color w:val="0A5647"/>
          <w:sz w:val="30"/>
        </w:rPr>
        <w:t>2. Alcance y estrategia de prueba</w:t>
      </w:r>
    </w:p>
    <w:p>
      <w:pPr>
        <w:spacing w:before="240" w:after="80"/>
      </w:pPr>
      <w:r>
        <w:rPr>
          <w:rFonts w:ascii="Calibri" w:hAnsi="Calibri"/>
          <w:b/>
          <w:color w:val="0B6B57"/>
          <w:sz w:val="24"/>
        </w:rPr>
        <w:t>2.1  Que se prueba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494"/>
            <w:shd w:val="clear" w:fill="0B6B5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Incluido</w:t>
            </w:r>
          </w:p>
        </w:tc>
        <w:tc>
          <w:tcPr>
            <w:tcW w:type="dxa" w:w="6690"/>
            <w:shd w:val="clear" w:fill="0B6B5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Detalle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Verificacion funcional por rol</w:t>
            </w:r>
          </w:p>
        </w:tc>
        <w:tc>
          <w:tcPr>
            <w:tcW w:type="dxa" w:w="6690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Los cuatro roles ejecutan su flujo principal de punta a punta.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Verificacion de autorizacion</w:t>
            </w:r>
          </w:p>
        </w:tc>
        <w:tc>
          <w:tcPr>
            <w:tcW w:type="dxa" w:w="6690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Intento deliberado de acceder a recursos de otro cliente.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Verificacion de la maquina de estados</w:t>
            </w:r>
          </w:p>
        </w:tc>
        <w:tc>
          <w:tcPr>
            <w:tcW w:type="dxa" w:w="6690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Transiciones validas e invalidas sobre una orden real.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Verificacion de reglas de negocio</w:t>
            </w:r>
          </w:p>
        </w:tc>
        <w:tc>
          <w:tcPr>
            <w:tcW w:type="dxa" w:w="6690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Las 30 reglas del catalogo, uno a uno, contra el comportamiento.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Verificacion de la consulta publica</w:t>
            </w:r>
          </w:p>
        </w:tc>
        <w:tc>
          <w:tcPr>
            <w:tcW w:type="dxa" w:w="6690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Inspeccion del cuerpo de la respuesta campo por campo.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Verificacion de integridad</w:t>
            </w:r>
          </w:p>
        </w:tc>
        <w:tc>
          <w:tcPr>
            <w:tcW w:type="dxa" w:w="6690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Comprobacion de que ningun cambio de estado queda sin su asiento.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Calibri" w:hAnsi="Calibri"/>
          <w:b/>
          <w:color w:val="0B6B57"/>
          <w:sz w:val="24"/>
        </w:rPr>
        <w:t>2.2  Que NO se prueba y por 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154"/>
            <w:shd w:val="clear" w:fill="0B6B5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Excluido</w:t>
            </w:r>
          </w:p>
        </w:tc>
        <w:tc>
          <w:tcPr>
            <w:tcW w:type="dxa" w:w="3402"/>
            <w:shd w:val="clear" w:fill="0B6B5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Motivo</w:t>
            </w:r>
          </w:p>
        </w:tc>
        <w:tc>
          <w:tcPr>
            <w:tcW w:type="dxa" w:w="3628"/>
            <w:shd w:val="clear" w:fill="0B6B5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Riesgo asumido</w:t>
            </w:r>
          </w:p>
        </w:tc>
      </w:tr>
      <w:tr>
        <w:tc>
          <w:tcPr>
            <w:tcW w:type="dxa" w:w="2154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Pruebas de carga y rendimiento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El volumen de la demostracion no lo justifica.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Se desconoce el comportamiento con miles de ordenes.</w:t>
            </w:r>
          </w:p>
        </w:tc>
      </w:tr>
      <w:tr>
        <w:tc>
          <w:tcPr>
            <w:tcW w:type="dxa" w:w="2154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Pruebas de interfaz automatizadas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Se priorizaron las reglas de negocio, que es donde un fallo cuesta dinero.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Un cambio de maquetacion puede romper una pantalla sin que nadie se entere hasta abrirla.</w:t>
            </w:r>
          </w:p>
        </w:tc>
      </w:tr>
      <w:tr>
        <w:tc>
          <w:tcPr>
            <w:tcW w:type="dxa" w:w="2154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Pruebas de seguridad por terceros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Fuera del alcance formativo.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La revision de seguridad la hizo el propio equipo.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Calibri" w:hAnsi="Calibri"/>
          <w:b/>
          <w:color w:val="0B6B57"/>
          <w:sz w:val="24"/>
        </w:rPr>
        <w:t>2.3  Estrategia</w:t>
      </w:r>
    </w:p>
    <w:p>
      <w:pPr>
        <w:spacing w:before="0" w:after="120"/>
      </w:pPr>
      <w:r>
        <w:rPr>
          <w:rFonts w:ascii="Calibri" w:hAnsi="Calibri"/>
          <w:b w:val="0"/>
          <w:color w:val="111827"/>
          <w:sz w:val="21"/>
        </w:rPr>
        <w:t>La estrategia se apoya en pruebas de integracion sobre la API real, no en pruebas unitarias con dependencias simuladas. La decision es deliberada y tiene una razon:</w:t>
      </w:r>
    </w:p>
    <w:p>
      <w:pPr>
        <w:spacing w:before="0" w:after="120"/>
      </w:pPr>
      <w:r>
        <w:rPr>
          <w:rFonts w:ascii="Calibri" w:hAnsi="Calibri"/>
          <w:b w:val="0"/>
          <w:color w:val="111827"/>
          <w:sz w:val="21"/>
        </w:rPr>
        <w:t>En SIGTM casi todo el valor esta en las reglas que cruzan varias piezas. Que un pago menor al interes no reduzca la deuda involucra la entidad, el servicio, la transaccion y la respuesta HTTP. Una prueba unitaria del servicio con el repositorio simulado habria verificado la aritmetica pero no que el usuario reciba el aviso.</w:t>
      </w:r>
    </w:p>
    <w:p>
      <w:pPr>
        <w:spacing w:before="0" w:after="120"/>
      </w:pPr>
      <w:r>
        <w:rPr>
          <w:rFonts w:ascii="Calibri" w:hAnsi="Calibri"/>
          <w:b w:val="0"/>
          <w:color w:val="111827"/>
          <w:sz w:val="21"/>
        </w:rPr>
        <w:t>El costo de esta decision esta reconocido: las pruebas son mas lentas (cinco minutos la suite completa) y cuando una falla el diagnostico toma mas tiempo, porque el fallo puede estar en cualquiera de las capas. Queda registrado como DT-11.</w:t>
      </w:r>
    </w:p>
    <w:p>
      <w:pPr>
        <w:spacing w:before="240" w:after="80"/>
      </w:pPr>
      <w:r>
        <w:rPr>
          <w:rFonts w:ascii="Calibri" w:hAnsi="Calibri"/>
          <w:b/>
          <w:color w:val="0B6B57"/>
          <w:sz w:val="24"/>
        </w:rPr>
        <w:t>2.4  Ambientes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28"/>
            <w:shd w:val="clear" w:fill="0B6B5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Ambiente</w:t>
            </w:r>
          </w:p>
        </w:tc>
        <w:tc>
          <w:tcPr>
            <w:tcW w:type="dxa" w:w="2041"/>
            <w:shd w:val="clear" w:fill="0B6B5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Base de datos</w:t>
            </w:r>
          </w:p>
        </w:tc>
        <w:tc>
          <w:tcPr>
            <w:tcW w:type="dxa" w:w="2948"/>
            <w:shd w:val="clear" w:fill="0B6B5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Como se levanta</w:t>
            </w:r>
          </w:p>
        </w:tc>
        <w:tc>
          <w:tcPr>
            <w:tcW w:type="dxa" w:w="2268"/>
            <w:shd w:val="clear" w:fill="0B6B5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Para que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Desarrollo</w:t>
            </w:r>
          </w:p>
        </w:tc>
        <w:tc>
          <w:tcPr>
            <w:tcW w:type="dxa" w:w="2041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PostgreSQL compartida en Neon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npm run dev en servidor y cliente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Trabajo diario de los tres integrantes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Demostracion</w:t>
            </w:r>
          </w:p>
        </w:tc>
        <w:tc>
          <w:tcPr>
            <w:tcW w:type="dxa" w:w="2041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La misma base compartida, con datos de la semilla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Arranque con contenedores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Sustentacion ante el instructor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EE2E2"/>
          </w:tcPr>
          <w:p>
            <w:r>
              <w:rPr>
                <w:rFonts w:ascii="Calibri" w:hAnsi="Calibri"/>
                <w:b/>
                <w:color w:val="B91C1C"/>
                <w:sz w:val="21"/>
              </w:rPr>
              <w:t>Una diferencia entre ambientes que conviene tener presente</w:t>
            </w:r>
            <w:r>
              <w:rPr>
                <w:rFonts w:ascii="Calibri" w:hAnsi="Calibri"/>
                <w:color w:val="374151"/>
                <w:sz w:val="20"/>
              </w:rPr>
            </w:r>
          </w:p>
          <w:p>
            <w:r>
              <w:rPr>
                <w:rFonts w:ascii="Calibri" w:hAnsi="Calibri"/>
                <w:b/>
                <w:color w:val="B91C1C"/>
                <w:sz w:val="21"/>
              </w:rPr>
              <w:t>Los tres integrantes trabajan contra la MISMA base de datos en la nube. No hay base local por persona. Eso significa que un dato borrado por alguien desaparece para todos, y que la semilla vuelve a dejar las cuentas de demostracion en su estado conocido. Antes de verificar, conviene ejecutar la semilla para partir siempre del mismo punto.</w:t>
            </w:r>
            <w:r>
              <w:rPr>
                <w:rFonts w:ascii="Calibri" w:hAnsi="Calibri"/>
                <w:color w:val="374151"/>
                <w:sz w:val="20"/>
              </w:rPr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Calibri" w:hAnsi="Calibri"/>
          <w:b/>
          <w:color w:val="0B6B57"/>
          <w:sz w:val="24"/>
        </w:rPr>
        <w:t>2.5  Datos de prueba</w:t>
      </w:r>
    </w:p>
    <w:p>
      <w:pPr>
        <w:spacing w:before="0" w:after="120"/>
      </w:pPr>
      <w:r>
        <w:rPr>
          <w:rFonts w:ascii="Calibri" w:hAnsi="Calibri"/>
          <w:b w:val="0"/>
          <w:color w:val="111827"/>
          <w:sz w:val="21"/>
        </w:rPr>
        <w:t>Cada clase de prueba deja la base en blanco antes de cada caso, mediante un unico punto de limpieza compartido. El orden de borrado respeta las llaves foraneas: primero lo que apunta, despues lo apuntado.</w:t>
      </w:r>
    </w:p>
    <w:p>
      <w:pPr>
        <w:spacing w:before="0" w:after="120"/>
      </w:pPr>
      <w:r>
        <w:rPr>
          <w:rFonts w:ascii="Calibri" w:hAnsi="Calibri"/>
          <w:b w:val="0"/>
          <w:color w:val="111827"/>
          <w:sz w:val="21"/>
        </w:rPr>
        <w:t>Los datos de catalogo se vuelven a sembrar en cada limpieza: los dos roles y las diecisiete categorias del sistema. Esa lista debe coincidir con la de las migraciones V1 y V5; un script de verificacion lo comprueba.</w:t>
      </w:r>
    </w:p>
    <w:p>
      <w:pPr>
        <w:spacing w:before="0" w:after="120"/>
      </w:pPr>
      <w:r>
        <w:rPr>
          <w:rFonts w:ascii="Calibri" w:hAnsi="Calibri"/>
          <w:b w:val="0"/>
          <w:color w:val="111827"/>
          <w:sz w:val="21"/>
        </w:rPr>
        <w:t>No se usan datos personales reales. Los correos de las cuentas de demostracion son del dominio ficticio sigtm.com y las motocicletas llevan placas inventadas.</w:t>
      </w:r>
    </w:p>
    <w:p>
      <w:pPr>
        <w:spacing w:before="240" w:after="80"/>
      </w:pPr>
      <w:r>
        <w:rPr>
          <w:rFonts w:ascii="Calibri" w:hAnsi="Calibri"/>
          <w:b/>
          <w:color w:val="0B6B57"/>
          <w:sz w:val="24"/>
        </w:rPr>
        <w:t>2.6  Herramientas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608"/>
            <w:shd w:val="clear" w:fill="0B6B5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Herramienta</w:t>
            </w:r>
          </w:p>
        </w:tc>
        <w:tc>
          <w:tcPr>
            <w:tcW w:type="dxa" w:w="1361"/>
            <w:shd w:val="clear" w:fill="0B6B5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5216"/>
            <w:shd w:val="clear" w:fill="0B6B5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Para que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Navegador</w:t>
            </w:r>
          </w:p>
        </w:tc>
        <w:tc>
          <w:tcPr>
            <w:tcW w:type="dxa" w:w="1361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Chrome y Firefox en version actual</w:t>
            </w:r>
          </w:p>
        </w:tc>
        <w:tc>
          <w:tcPr>
            <w:tcW w:type="dxa" w:w="5216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Verificacion funcional de la interfaz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Cliente HTTP</w:t>
            </w:r>
          </w:p>
        </w:tc>
        <w:tc>
          <w:tcPr>
            <w:tcW w:type="dxa" w:w="1361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Postman o Bruno</w:t>
            </w:r>
          </w:p>
        </w:tc>
        <w:tc>
          <w:tcPr>
            <w:tcW w:type="dxa" w:w="5216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Verificacion de la API y de los permisos por endpoint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Consola del servidor</w:t>
            </w:r>
          </w:p>
        </w:tc>
        <w:tc>
          <w:tcPr>
            <w:tcW w:type="dxa" w:w="1361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Node.js</w:t>
            </w:r>
          </w:p>
        </w:tc>
        <w:tc>
          <w:tcPr>
            <w:tcW w:type="dxa" w:w="5216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Lectura de los enlaces de recuperacion y de los errores registrados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Cliente de base de datos</w:t>
            </w:r>
          </w:p>
        </w:tc>
        <w:tc>
          <w:tcPr>
            <w:tcW w:type="dxa" w:w="1361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Prisma Studio</w:t>
            </w:r>
          </w:p>
        </w:tc>
        <w:tc>
          <w:tcPr>
            <w:tcW w:type="dxa" w:w="5216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Inspeccion de datos, hashes y asientos de historial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Semilla del proyecto</w:t>
            </w:r>
          </w:p>
        </w:tc>
        <w:tc>
          <w:tcPr>
            <w:tcW w:type="dxa" w:w="1361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prisma/seed.js</w:t>
            </w:r>
          </w:p>
        </w:tc>
        <w:tc>
          <w:tcPr>
            <w:tcW w:type="dxa" w:w="5216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Restablecer el estado conocido antes de verificar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Ejecutor de pruebas</w:t>
            </w:r>
          </w:p>
        </w:tc>
        <w:tc>
          <w:tcPr>
            <w:tcW w:type="dxa" w:w="1361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node --test (incluido en Node 20)</w:t>
            </w:r>
          </w:p>
        </w:tc>
        <w:tc>
          <w:tcPr>
            <w:tcW w:type="dxa" w:w="5216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Pruebas de unidad del nucleo. Se eligio el que trae Node para no anadir dependencias a nueve dias de la entrega.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Integracion continua</w:t>
            </w:r>
          </w:p>
        </w:tc>
        <w:tc>
          <w:tcPr>
            <w:tcW w:type="dxa" w:w="1361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GitHub Actions</w:t>
            </w:r>
          </w:p>
        </w:tc>
        <w:tc>
          <w:tcPr>
            <w:tcW w:type="dxa" w:w="5216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Ejecucion automatica en cada envio: pruebas, esquema, compilacion del cliente y busqueda de secretos versionados.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Calibri" w:hAnsi="Calibri"/>
          <w:b/>
          <w:color w:val="0B6B57"/>
          <w:sz w:val="24"/>
        </w:rPr>
        <w:t>2.7  Responsables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608"/>
            <w:shd w:val="clear" w:fill="0B6B5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Responsable</w:t>
            </w:r>
          </w:p>
        </w:tc>
        <w:tc>
          <w:tcPr>
            <w:tcW w:type="dxa" w:w="6576"/>
            <w:shd w:val="clear" w:fill="0B6B5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Alcance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Harryson [apellidos por completar]</w:t>
            </w:r>
          </w:p>
        </w:tc>
        <w:tc>
          <w:tcPr>
            <w:tcW w:type="dxa" w:w="6576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Verificacion de la API, la autorizacion, la maquina de estados y la integridad de datos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Jessica [apellidos por completar]</w:t>
            </w:r>
          </w:p>
        </w:tc>
        <w:tc>
          <w:tcPr>
            <w:tcW w:type="dxa" w:w="6576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Verificacion funcional de las pantallas del personal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Dayana [apellidos por completar]</w:t>
            </w:r>
          </w:p>
        </w:tc>
        <w:tc>
          <w:tcPr>
            <w:tcW w:type="dxa" w:w="6576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Verificacion del portal del cliente y de la consulta publica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60" w:after="160"/>
        <w:pBdr>
          <w:bottom w:val="single" w:sz="6" w:color="0B6B57"/>
        </w:pBdr>
      </w:pPr>
      <w:r>
        <w:rPr>
          <w:rFonts w:ascii="Calibri" w:hAnsi="Calibri"/>
          <w:b/>
          <w:color w:val="0A5647"/>
          <w:sz w:val="30"/>
        </w:rPr>
        <w:t>3. Niveles de prueba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14"/>
            <w:shd w:val="clear" w:fill="0B6B5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Nivel</w:t>
            </w:r>
          </w:p>
        </w:tc>
        <w:tc>
          <w:tcPr>
            <w:tcW w:type="dxa" w:w="1928"/>
            <w:shd w:val="clear" w:fill="0B6B5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Estado</w:t>
            </w:r>
          </w:p>
        </w:tc>
        <w:tc>
          <w:tcPr>
            <w:tcW w:type="dxa" w:w="1361"/>
            <w:shd w:val="clear" w:fill="0B6B5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Cantidad</w:t>
            </w:r>
          </w:p>
        </w:tc>
        <w:tc>
          <w:tcPr>
            <w:tcW w:type="dxa" w:w="4082"/>
            <w:shd w:val="clear" w:fill="0B6B5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Observacion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Unitario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Construido</w:t>
            </w:r>
          </w:p>
        </w:tc>
        <w:tc>
          <w:tcPr>
            <w:tcW w:type="dxa" w:w="1361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32 pruebas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Maquina de estados (8), tokens de seguridad (8), limite de intentos (6) y regla de aviso al cliente (10). No tocan la base de datos: corren en cualquier equipo y en la integracion continua.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Integracion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Construido</w:t>
            </w:r>
          </w:p>
        </w:tc>
        <w:tc>
          <w:tcPr>
            <w:tcW w:type="dxa" w:w="1361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27 comprobaciones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Dos guiones contra la base real: recuperacion de contrasena (15) y aviso de cambio de etapa (12). Crean sus propios datos y los borran al terminar.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Funcional manual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Ejecutado</w:t>
            </w:r>
          </w:p>
        </w:tc>
        <w:tc>
          <w:tcPr>
            <w:tcW w:type="dxa" w:w="1361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38 casos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Registrados en la seccion de casos de prueba.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Aceptacion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En ejecucion</w:t>
            </w:r>
          </w:p>
        </w:tc>
        <w:tc>
          <w:tcPr>
            <w:tcW w:type="dxa" w:w="1361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12 criterios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Se cierran con la demostracion al instructor.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Calibri" w:hAnsi="Calibri"/>
          <w:b/>
          <w:color w:val="0B6B57"/>
          <w:sz w:val="24"/>
        </w:rPr>
        <w:t>3.1  Inventario de casos automatizados</w:t>
      </w:r>
    </w:p>
    <w:p>
      <w:pPr>
        <w:spacing w:before="0" w:after="120"/>
      </w:pPr>
      <w:r>
        <w:rPr>
          <w:rFonts w:ascii="Calibri" w:hAnsi="Calibri"/>
          <w:b w:val="0"/>
          <w:color w:val="111827"/>
          <w:sz w:val="21"/>
        </w:rPr>
        <w:t>Los 189 casos se agrupan en trece clases. La tabla indica cuantos casos tiene cada una y que reglas cubre. El conteo corresponde a la corrida del 04/09/2026, ejecutada en Docker con la imagen maven:3.9-eclipse-temurin-21.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94"/>
            <w:shd w:val="clear" w:fill="0B6B5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Clase</w:t>
            </w:r>
          </w:p>
        </w:tc>
        <w:tc>
          <w:tcPr>
            <w:tcW w:type="dxa" w:w="794"/>
            <w:shd w:val="clear" w:fill="0B6B5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Casos</w:t>
            </w:r>
          </w:p>
        </w:tc>
        <w:tc>
          <w:tcPr>
            <w:tcW w:type="dxa" w:w="3742"/>
            <w:shd w:val="clear" w:fill="0B6B5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Que verifica</w:t>
            </w:r>
          </w:p>
        </w:tc>
        <w:tc>
          <w:tcPr>
            <w:tcW w:type="dxa" w:w="2154"/>
            <w:shd w:val="clear" w:fill="0B6B5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Reglas cubiertas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Autenticacion e identidad</w:t>
            </w:r>
          </w:p>
        </w:tc>
        <w:tc>
          <w:tcPr>
            <w:tcW w:type="dxa" w:w="794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8</w:t>
            </w:r>
          </w:p>
        </w:tc>
        <w:tc>
          <w:tcPr>
            <w:tcW w:type="dxa" w:w="3742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Registro, inicio de sesion, perfil y estado de la cuenta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RN-001 a RN-003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Recuperacion y verificacion</w:t>
            </w:r>
          </w:p>
        </w:tc>
        <w:tc>
          <w:tcPr>
            <w:tcW w:type="dxa" w:w="794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5</w:t>
            </w:r>
          </w:p>
        </w:tc>
        <w:tc>
          <w:tcPr>
            <w:tcW w:type="dxa" w:w="3742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Tokens de un solo uso, caducidad y respuesta neutra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RN-008 a RN-010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Gestion de usuarios</w:t>
            </w:r>
          </w:p>
        </w:tc>
        <w:tc>
          <w:tcPr>
            <w:tcW w:type="dxa" w:w="794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4</w:t>
            </w:r>
          </w:p>
        </w:tc>
        <w:tc>
          <w:tcPr>
            <w:tcW w:type="dxa" w:w="3742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Alta de personal, cambio de rol y proteccion del ultimo administrador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RN-004 a RN-007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Clientes y motocicletas</w:t>
            </w:r>
          </w:p>
        </w:tc>
        <w:tc>
          <w:tcPr>
            <w:tcW w:type="dxa" w:w="794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4</w:t>
            </w:r>
          </w:p>
        </w:tc>
        <w:tc>
          <w:tcPr>
            <w:tcW w:type="dxa" w:w="3742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Registro, unicidad de placa y consulta por cliente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RN-011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Citas</w:t>
            </w:r>
          </w:p>
        </w:tc>
        <w:tc>
          <w:tcPr>
            <w:tcW w:type="dxa" w:w="794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3</w:t>
            </w:r>
          </w:p>
        </w:tc>
        <w:tc>
          <w:tcPr>
            <w:tcW w:type="dxa" w:w="3742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Agendamiento, cambio de estado y reprogramacion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—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Ordenes de trabajo</w:t>
            </w:r>
          </w:p>
        </w:tc>
        <w:tc>
          <w:tcPr>
            <w:tcW w:type="dxa" w:w="794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6</w:t>
            </w:r>
          </w:p>
        </w:tc>
        <w:tc>
          <w:tcPr>
            <w:tcW w:type="dxa" w:w="3742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Apertura, asignacion de mecanico y maquina de estados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RN-012 a RN-019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Auditoria de estados</w:t>
            </w:r>
          </w:p>
        </w:tc>
        <w:tc>
          <w:tcPr>
            <w:tcW w:type="dxa" w:w="794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2</w:t>
            </w:r>
          </w:p>
        </w:tc>
        <w:tc>
          <w:tcPr>
            <w:tcW w:type="dxa" w:w="3742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Asiento con autor y fecha, y atomicidad de la transaccion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RN-020, RN-021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Seguimiento publico</w:t>
            </w:r>
          </w:p>
        </w:tc>
        <w:tc>
          <w:tcPr>
            <w:tcW w:type="dxa" w:w="794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3</w:t>
            </w:r>
          </w:p>
        </w:tc>
        <w:tc>
          <w:tcPr>
            <w:tcW w:type="dxa" w:w="3742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Consulta sin sesion y proyeccion reducida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RN-029, RN-030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Diagnostico y cotizacion</w:t>
            </w:r>
          </w:p>
        </w:tc>
        <w:tc>
          <w:tcPr>
            <w:tcW w:type="dxa" w:w="794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2</w:t>
            </w:r>
          </w:p>
        </w:tc>
        <w:tc>
          <w:tcPr>
            <w:tcW w:type="dxa" w:w="3742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Registro del diagnostico y calculo del total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RN-028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Inventario</w:t>
            </w:r>
          </w:p>
        </w:tc>
        <w:tc>
          <w:tcPr>
            <w:tcW w:type="dxa" w:w="794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2</w:t>
            </w:r>
          </w:p>
        </w:tc>
        <w:tc>
          <w:tcPr>
            <w:tcW w:type="dxa" w:w="3742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Unicidad de codigo y alerta de existencias bajo minimo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RN-024, RN-025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Facturacion</w:t>
            </w:r>
          </w:p>
        </w:tc>
        <w:tc>
          <w:tcPr>
            <w:tcW w:type="dxa" w:w="794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2</w:t>
            </w:r>
          </w:p>
        </w:tc>
        <w:tc>
          <w:tcPr>
            <w:tcW w:type="dxa" w:w="3742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Numero unico y relacion uno a uno con la orden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RN-026, RN-027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Autorizacion horizontal</w:t>
            </w:r>
          </w:p>
        </w:tc>
        <w:tc>
          <w:tcPr>
            <w:tcW w:type="dxa" w:w="794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5</w:t>
            </w:r>
          </w:p>
        </w:tc>
        <w:tc>
          <w:tcPr>
            <w:tcW w:type="dxa" w:w="3742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Acceso denegado a recursos de otro cliente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RNF-007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Calibri" w:hAnsi="Calibri"/>
          <w:b/>
          <w:color w:val="0B6B57"/>
          <w:sz w:val="24"/>
        </w:rPr>
        <w:t>3.2  Casos que conviene destacar en la sustentacion</w:t>
      </w:r>
    </w:p>
    <w:p>
      <w:pPr>
        <w:spacing w:before="0" w:after="120"/>
      </w:pPr>
      <w:r>
        <w:rPr>
          <w:rFonts w:ascii="Calibri" w:hAnsi="Calibri"/>
          <w:b w:val="0"/>
          <w:color w:val="111827"/>
          <w:sz w:val="21"/>
        </w:rPr>
        <w:t>No todos los casos tienen el mismo peso. Estos cinco son los que demuestran que el sistema hace lo correcto en las situaciones incomodas.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val="clear" w:fill="0B6B5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Caso</w:t>
            </w:r>
          </w:p>
        </w:tc>
        <w:tc>
          <w:tcPr>
            <w:tcW w:type="dxa" w:w="6350"/>
            <w:shd w:val="clear" w:fill="0B6B5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Que demuestra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Escalada de privilegios en el registro</w:t>
            </w:r>
          </w:p>
        </w:tc>
        <w:tc>
          <w:tcPr>
            <w:tcW w:type="dxa" w:w="6350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Que RN-001 y RN-002 se cumplen: no hay forma de crear un administrador desde el registro publico.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Acceso horizontal entre clientes</w:t>
            </w:r>
          </w:p>
        </w:tc>
        <w:tc>
          <w:tcPr>
            <w:tcW w:type="dxa" w:w="6350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Que la comprobacion de propiedad corta antes de devolver datos ajenos.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Transicion invalida de estado</w:t>
            </w:r>
          </w:p>
        </w:tc>
        <w:tc>
          <w:tcPr>
            <w:tcW w:type="dxa" w:w="6350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Que la maquina de estados no admite saltos.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Token de recuperacion reutilizado</w:t>
            </w:r>
          </w:p>
        </w:tc>
        <w:tc>
          <w:tcPr>
            <w:tcW w:type="dxa" w:w="6350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Que un enlace ya usado no vuelve a servir.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60" w:after="160"/>
        <w:pBdr>
          <w:bottom w:val="single" w:sz="6" w:color="0B6B57"/>
        </w:pBdr>
      </w:pPr>
      <w:r>
        <w:rPr>
          <w:rFonts w:ascii="Calibri" w:hAnsi="Calibri"/>
          <w:b/>
          <w:color w:val="0A5647"/>
          <w:sz w:val="30"/>
        </w:rPr>
        <w:t>4. Pruebas de autorizacion, seguridad y accesibilidad</w:t>
      </w:r>
    </w:p>
    <w:p>
      <w:pPr>
        <w:spacing w:before="240" w:after="80"/>
      </w:pPr>
      <w:r>
        <w:rPr>
          <w:rFonts w:ascii="Calibri" w:hAnsi="Calibri"/>
          <w:b/>
          <w:color w:val="0B6B57"/>
          <w:sz w:val="24"/>
        </w:rPr>
        <w:t>4.1  Autorizacion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628"/>
            <w:shd w:val="clear" w:fill="0B6B5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Escenario</w:t>
            </w:r>
          </w:p>
        </w:tc>
        <w:tc>
          <w:tcPr>
            <w:tcW w:type="dxa" w:w="3402"/>
            <w:shd w:val="clear" w:fill="0B6B5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Resultado esperado</w:t>
            </w:r>
          </w:p>
        </w:tc>
        <w:tc>
          <w:tcPr>
            <w:tcW w:type="dxa" w:w="2154"/>
            <w:shd w:val="clear" w:fill="0B6B5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Estado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Peticion sin token a un recurso protegido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401 sin cuerpo de datos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Verificado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Token valido de cliente sobre la orden de otro cliente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403 sin cuerpo de datos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Verificado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Token de cliente sobre el listado general de ordenes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403 por rol insuficiente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Verificado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Token de mecanico intentando crear una cuenta de usuario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403 por rol insuficiente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Verificado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Token de recepcionista intentando eliminar una orden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403: solo el administrador elimina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Verificado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Registro publico enviando rol ADMINISTRADOR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400 y ninguna cuenta creada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Verificado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Token emitido antes del ultimo cambio de contrasena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401: sesion invalidada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Verificado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DCF2EC"/>
          </w:tcPr>
          <w:p>
            <w:r>
              <w:rPr>
                <w:rFonts w:ascii="Calibri" w:hAnsi="Calibri"/>
                <w:b/>
                <w:color w:val="0B6B57"/>
                <w:sz w:val="21"/>
              </w:rPr>
              <w:t>Por que un recurso ajeno responde 403 y no 404</w:t>
            </w:r>
            <w:r>
              <w:rPr>
                <w:rFonts w:ascii="Calibri" w:hAnsi="Calibri"/>
                <w:color w:val="374151"/>
                <w:sz w:val="20"/>
              </w:rPr>
            </w:r>
          </w:p>
          <w:p>
            <w:r>
              <w:rPr>
                <w:rFonts w:ascii="Calibri" w:hAnsi="Calibri"/>
                <w:b/>
                <w:color w:val="0B6B57"/>
                <w:sz w:val="21"/>
              </w:rPr>
              <w:t>Se eligio responder 403 en lugar de 404 porque el identificador de la orden es un UUID: quien lo tiene, lo consiguio de algun lado. Responder 404 no oculta nada util y complica distinguir un error real de un intento de acceso. Lo que si se cuida es que el cuerpo de la respuesta no traiga ningun dato del recurso solicitado.</w:t>
            </w:r>
            <w:r>
              <w:rPr>
                <w:rFonts w:ascii="Calibri" w:hAnsi="Calibri"/>
                <w:color w:val="374151"/>
                <w:sz w:val="20"/>
              </w:rPr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Calibri" w:hAnsi="Calibri"/>
          <w:b/>
          <w:color w:val="0B6B57"/>
          <w:sz w:val="24"/>
        </w:rPr>
        <w:t>4.2  Seguridad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381"/>
            <w:shd w:val="clear" w:fill="0B6B5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Control</w:t>
            </w:r>
          </w:p>
        </w:tc>
        <w:tc>
          <w:tcPr>
            <w:tcW w:type="dxa" w:w="4649"/>
            <w:shd w:val="clear" w:fill="0B6B5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Como se verifica</w:t>
            </w:r>
          </w:p>
        </w:tc>
        <w:tc>
          <w:tcPr>
            <w:tcW w:type="dxa" w:w="2154"/>
            <w:shd w:val="clear" w:fill="0B6B5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Estado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Contrasenas cifradas con bcrypt</w:t>
            </w:r>
          </w:p>
        </w:tc>
        <w:tc>
          <w:tcPr>
            <w:tcW w:type="dxa" w:w="4649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Inspeccion directa de la tabla de usuarios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Verificado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El registro publico no acepta el rol</w:t>
            </w:r>
          </w:p>
        </w:tc>
        <w:tc>
          <w:tcPr>
            <w:tcW w:type="dxa" w:w="4649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Peticion con rol elevado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Verificado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Propiedad del recurso comprobada en el servidor</w:t>
            </w:r>
          </w:p>
        </w:tc>
        <w:tc>
          <w:tcPr>
            <w:tcW w:type="dxa" w:w="4649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Alteracion del identificador en la direccion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Verificado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Consulta publica sin datos personales</w:t>
            </w:r>
          </w:p>
        </w:tc>
        <w:tc>
          <w:tcPr>
            <w:tcW w:type="dxa" w:w="4649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Inspeccion del cuerpo de la respuesta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Verificado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Token invalidado al cambiar la contrasena</w:t>
            </w:r>
          </w:p>
        </w:tc>
        <w:tc>
          <w:tcPr>
            <w:tcW w:type="dxa" w:w="4649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Uso del token anterior tras restablecer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Verificado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Origen del navegador explicito</w:t>
            </w:r>
          </w:p>
        </w:tc>
        <w:tc>
          <w:tcPr>
            <w:tcW w:type="dxa" w:w="4649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Peticion desde un origen distinto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Verificado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Limite de intentos en recuperacion</w:t>
            </w:r>
          </w:p>
        </w:tc>
        <w:tc>
          <w:tcPr>
            <w:tcW w:type="dxa" w:w="4649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Seis solicitudes seguidas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Verificado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Tokens guardados cifrados</w:t>
            </w:r>
          </w:p>
        </w:tc>
        <w:tc>
          <w:tcPr>
            <w:tcW w:type="dxa" w:w="4649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Inspeccion de la tabla de tokens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Verificado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Verificacion anti-automatizacion activa</w:t>
            </w:r>
          </w:p>
        </w:tc>
        <w:tc>
          <w:tcPr>
            <w:tcW w:type="dxa" w:w="4649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Inicio de sesion sin resolver el desafio: el boton queda inactivo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Verificado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Calibri" w:hAnsi="Calibri"/>
          <w:b/>
          <w:color w:val="0B6B57"/>
          <w:sz w:val="24"/>
        </w:rPr>
        <w:t>4.3  Accesibilidad</w:t>
      </w:r>
    </w:p>
    <w:p>
      <w:pPr>
        <w:spacing w:before="0" w:after="120"/>
      </w:pPr>
      <w:r>
        <w:rPr>
          <w:rFonts w:ascii="Calibri" w:hAnsi="Calibri"/>
          <w:b w:val="0"/>
          <w:color w:val="111827"/>
          <w:sz w:val="21"/>
        </w:rPr>
        <w:t>Se verifico con un script que calcula la relacion de contraste segun la formula de luminancia relativa, sobre los diez pares de color del sistema de diseno.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608"/>
            <w:shd w:val="clear" w:fill="0B6B5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Verificacion</w:t>
            </w:r>
          </w:p>
        </w:tc>
        <w:tc>
          <w:tcPr>
            <w:tcW w:type="dxa" w:w="4422"/>
            <w:shd w:val="clear" w:fill="0B6B5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Resultado</w:t>
            </w:r>
          </w:p>
        </w:tc>
        <w:tc>
          <w:tcPr>
            <w:tcW w:type="dxa" w:w="2154"/>
            <w:shd w:val="clear" w:fill="0B6B5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Estado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El esquema se reconstruye desde cero con las migraciones</w:t>
            </w:r>
          </w:p>
        </w:tc>
        <w:tc>
          <w:tcPr>
            <w:tcW w:type="dxa" w:w="4422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Pendiente: falta la migracion de tokens e historial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Abierto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La semilla puede ejecutarse varias veces sin duplicar datos</w:t>
            </w:r>
          </w:p>
        </w:tc>
        <w:tc>
          <w:tcPr>
            <w:tcW w:type="dxa" w:w="4422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Correcto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Verificado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El chequeo de salud detecta la caida de la base de datos</w:t>
            </w:r>
          </w:p>
        </w:tc>
        <w:tc>
          <w:tcPr>
            <w:tcW w:type="dxa" w:w="4422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Correcto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Verificado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Ningun secreto aparece en el repositorio</w:t>
            </w:r>
          </w:p>
        </w:tc>
        <w:tc>
          <w:tcPr>
            <w:tcW w:type="dxa" w:w="4422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Correcto: .env ignorado por git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Verificado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Los importes conservan dos decimales</w:t>
            </w:r>
          </w:p>
        </w:tc>
        <w:tc>
          <w:tcPr>
            <w:tcW w:type="dxa" w:w="4422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Correcto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Verificado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Calibri" w:hAnsi="Calibri"/>
          <w:b/>
          <w:color w:val="0B6B57"/>
          <w:sz w:val="24"/>
        </w:rPr>
        <w:t>4.4  Rendimiento</w:t>
      </w:r>
    </w:p>
    <w:p>
      <w:pPr>
        <w:spacing w:before="0" w:after="120"/>
      </w:pPr>
      <w:r>
        <w:rPr>
          <w:rFonts w:ascii="Calibri" w:hAnsi="Calibri"/>
          <w:b w:val="0"/>
          <w:color w:val="111827"/>
          <w:sz w:val="21"/>
        </w:rPr>
        <w:t>No se ejecutaron pruebas de carga. Se tomaron decisiones de diseno orientadas al rendimiento, que quedan como argumento y no como medicion:</w:t>
      </w:r>
    </w:p>
    <w:p>
      <w:pPr>
        <w:pStyle w:val="ListBullet"/>
        <w:spacing w:after="60"/>
        <w:ind w:left="454"/>
      </w:pPr>
      <w:r>
        <w:rPr>
          <w:rFonts w:ascii="Calibri" w:hAnsi="Calibri"/>
          <w:sz w:val="21"/>
        </w:rPr>
        <w:t>Las sumas de dinero se calculan en la base de datos, no trayendo filas a memoria.</w:t>
      </w:r>
    </w:p>
    <w:p>
      <w:pPr>
        <w:pStyle w:val="ListBullet"/>
        <w:spacing w:after="60"/>
        <w:ind w:left="454"/>
      </w:pPr>
      <w:r>
        <w:rPr>
          <w:rFonts w:ascii="Calibri" w:hAnsi="Calibri"/>
          <w:sz w:val="21"/>
        </w:rPr>
        <w:t>El listado de movimientos es paginado, con un tope de 100 elementos por pagina.</w:t>
      </w:r>
    </w:p>
    <w:p>
      <w:pPr>
        <w:pStyle w:val="ListBullet"/>
        <w:spacing w:after="60"/>
        <w:ind w:left="454"/>
      </w:pPr>
      <w:r>
        <w:rPr>
          <w:rFonts w:ascii="Calibri" w:hAnsi="Calibri"/>
          <w:sz w:val="21"/>
        </w:rPr>
        <w:t>Las relaciones entre entidades se cargan de forma diferida, para no traer al usuario completo al listar cuentas.</w:t>
      </w:r>
    </w:p>
    <w:p>
      <w:pPr>
        <w:pStyle w:val="ListBullet"/>
        <w:spacing w:after="60"/>
        <w:ind w:left="454"/>
      </w:pPr>
      <w:r>
        <w:rPr>
          <w:rFonts w:ascii="Calibri" w:hAnsi="Calibri"/>
          <w:sz w:val="21"/>
        </w:rPr>
        <w:t>Hay indices sobre las columnas por las que se filtra: usuario y fecha en movimientos, usuario y estado en obligaciones.</w:t>
      </w:r>
    </w:p>
    <w:p>
      <w:pPr>
        <w:pStyle w:val="ListBullet"/>
        <w:spacing w:after="60"/>
        <w:ind w:left="454"/>
      </w:pPr>
      <w:r>
        <w:rPr>
          <w:rFonts w:ascii="Calibri" w:hAnsi="Calibri"/>
          <w:sz w:val="21"/>
        </w:rPr>
        <w:t>El pool de conexiones se limita a cinco, porque el plan gratuito de la base tiene un tope y un pool grande lo saturaria.</w:t>
      </w:r>
    </w:p>
    <w:p>
      <w:r>
        <w:br w:type="page"/>
      </w:r>
    </w:p>
    <w:p>
      <w:pPr>
        <w:spacing w:before="360" w:after="160"/>
        <w:pBdr>
          <w:bottom w:val="single" w:sz="6" w:color="0B6B57"/>
        </w:pBdr>
      </w:pPr>
      <w:r>
        <w:rPr>
          <w:rFonts w:ascii="Calibri" w:hAnsi="Calibri"/>
          <w:b/>
          <w:color w:val="0A5647"/>
          <w:sz w:val="30"/>
        </w:rPr>
        <w:t>5. Criterios de entrada y de salida</w:t>
      </w:r>
    </w:p>
    <w:p>
      <w:pPr>
        <w:spacing w:before="240" w:after="80"/>
      </w:pPr>
      <w:r>
        <w:rPr>
          <w:rFonts w:ascii="Calibri" w:hAnsi="Calibri"/>
          <w:b/>
          <w:color w:val="0B6B57"/>
          <w:sz w:val="24"/>
        </w:rPr>
        <w:t>5.1  Criterios de entrada a pruebas</w:t>
      </w:r>
    </w:p>
    <w:p>
      <w:pPr>
        <w:pStyle w:val="ListBullet"/>
        <w:spacing w:after="60"/>
        <w:ind w:left="454"/>
      </w:pPr>
      <w:r>
        <w:rPr>
          <w:rFonts w:ascii="Calibri" w:hAnsi="Calibri"/>
          <w:sz w:val="21"/>
        </w:rPr>
        <w:t>El codigo compila sin errores.</w:t>
      </w:r>
    </w:p>
    <w:p>
      <w:pPr>
        <w:pStyle w:val="ListBullet"/>
        <w:spacing w:after="60"/>
        <w:ind w:left="454"/>
      </w:pPr>
      <w:r>
        <w:rPr>
          <w:rFonts w:ascii="Calibri" w:hAnsi="Calibri"/>
          <w:sz w:val="21"/>
        </w:rPr>
        <w:t>Las migraciones de base de datos estan escritas y numeradas.</w:t>
      </w:r>
    </w:p>
    <w:p>
      <w:pPr>
        <w:pStyle w:val="ListBullet"/>
        <w:spacing w:after="60"/>
        <w:ind w:left="454"/>
      </w:pPr>
      <w:r>
        <w:rPr>
          <w:rFonts w:ascii="Calibri" w:hAnsi="Calibri"/>
          <w:sz w:val="21"/>
        </w:rPr>
        <w:t>El requisito que se va a probar tiene su regla de negocio identificada.</w:t>
      </w:r>
    </w:p>
    <w:p>
      <w:pPr>
        <w:pStyle w:val="ListBullet"/>
        <w:spacing w:after="60"/>
        <w:ind w:left="454"/>
      </w:pPr>
      <w:r>
        <w:rPr>
          <w:rFonts w:ascii="Calibri" w:hAnsi="Calibri"/>
          <w:sz w:val="21"/>
        </w:rPr>
        <w:t>Existe al menos un caso por regla de negocio involucrada.</w:t>
      </w:r>
    </w:p>
    <w:p>
      <w:pPr>
        <w:spacing w:before="240" w:after="80"/>
      </w:pPr>
      <w:r>
        <w:rPr>
          <w:rFonts w:ascii="Calibri" w:hAnsi="Calibri"/>
          <w:b/>
          <w:color w:val="0B6B57"/>
          <w:sz w:val="24"/>
        </w:rPr>
        <w:t>5.2  Criterios de salida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402"/>
            <w:shd w:val="clear" w:fill="0B6B5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Criterio</w:t>
            </w:r>
          </w:p>
        </w:tc>
        <w:tc>
          <w:tcPr>
            <w:tcW w:type="dxa" w:w="2948"/>
            <w:shd w:val="clear" w:fill="0B6B5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Umbral</w:t>
            </w:r>
          </w:p>
        </w:tc>
        <w:tc>
          <w:tcPr>
            <w:tcW w:type="dxa" w:w="2835"/>
            <w:shd w:val="clear" w:fill="0B6B5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Estado al 13/09/2026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Flujos principales de los cuatro roles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Sin errores bloqueantes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Verificado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Reglas de negocio comprobadas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30 de 30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Verificado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Endpoints con permiso comprobado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61 de 61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Verificado. Inventario reproducible con herramientas/listar-endpoints.js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Hallazgos de seguridad cerrados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8 de 8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SEG-08 cerrado el 13/09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Pruebas automatizadas del nucleo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Reglas de negocio criticas cubiertas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Cumple: 32 de unidad y 27 de integracion, todas en verde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Defectos criticos abiertos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0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Verificado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Defectos mayores abiertos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3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Registrados en la seccion de defectos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EF3C7"/>
          </w:tcPr>
          <w:p>
            <w:r>
              <w:rPr>
                <w:rFonts w:ascii="Calibri" w:hAnsi="Calibri"/>
                <w:b/>
                <w:color w:val="B45309"/>
                <w:sz w:val="21"/>
              </w:rPr>
              <w:t>Una regla de trabajo que conviene mantener</w:t>
            </w:r>
            <w:r>
              <w:rPr>
                <w:rFonts w:ascii="Calibri" w:hAnsi="Calibri"/>
                <w:color w:val="374151"/>
                <w:sz w:val="20"/>
              </w:rPr>
            </w:r>
          </w:p>
          <w:p>
            <w:r>
              <w:rPr>
                <w:rFonts w:ascii="Calibri" w:hAnsi="Calibri"/>
                <w:b/>
                <w:color w:val="B45309"/>
                <w:sz w:val="21"/>
              </w:rPr>
              <w:t>Un defecto no se cierra porque deje de reproducirse: se cierra cuando se entiende su causa raiz y se registra que cambio para que no vuelva. Un defecto cerrado sin causa identificada vuelve, y vuelve en el peor momento.</w:t>
            </w:r>
            <w:r>
              <w:rPr>
                <w:rFonts w:ascii="Calibri" w:hAnsi="Calibri"/>
                <w:color w:val="374151"/>
                <w:sz w:val="20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60" w:after="160"/>
        <w:pBdr>
          <w:bottom w:val="single" w:sz="6" w:color="0B6B57"/>
        </w:pBdr>
      </w:pPr>
      <w:r>
        <w:rPr>
          <w:rFonts w:ascii="Calibri" w:hAnsi="Calibri"/>
          <w:b/>
          <w:color w:val="0A5647"/>
          <w:sz w:val="30"/>
        </w:rPr>
        <w:t>6. Registro de defectos</w:t>
      </w:r>
    </w:p>
    <w:p>
      <w:pPr>
        <w:spacing w:before="0" w:after="120"/>
      </w:pPr>
      <w:r>
        <w:rPr>
          <w:rFonts w:ascii="Calibri" w:hAnsi="Calibri"/>
          <w:b w:val="0"/>
          <w:color w:val="111827"/>
          <w:sz w:val="21"/>
        </w:rPr>
        <w:t>Los doce defectos de esta seccion ocurrieron realmente durante el desarrollo. Se registran con su causa raiz porque la causa es mas util que el sintoma: casi todos revelan un hueco en el proceso, no solo un error de escritura.</w:t>
      </w:r>
    </w:p>
    <w:p>
      <w:pPr>
        <w:spacing w:before="0" w:after="120"/>
      </w:pPr>
      <w:r>
        <w:rPr>
          <w:rFonts w:ascii="Calibri" w:hAnsi="Calibri"/>
          <w:b w:val="0"/>
          <w:color w:val="111827"/>
          <w:sz w:val="21"/>
        </w:rPr>
        <w:t>Severidad: Alta significa que la aplicacion no arrancaba o entregaba informacion incorrecta; Media, que una funcion no servia; Baja, cosmetico o de conveniencia.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850"/>
            <w:shd w:val="clear" w:fill="0B6B5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2211"/>
            <w:shd w:val="clear" w:fill="0B6B5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Defecto</w:t>
            </w:r>
          </w:p>
        </w:tc>
        <w:tc>
          <w:tcPr>
            <w:tcW w:type="dxa" w:w="2438"/>
            <w:shd w:val="clear" w:fill="0B6B5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Causa raiz</w:t>
            </w:r>
          </w:p>
        </w:tc>
        <w:tc>
          <w:tcPr>
            <w:tcW w:type="dxa" w:w="680"/>
            <w:shd w:val="clear" w:fill="0B6B5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Sev.</w:t>
            </w:r>
          </w:p>
        </w:tc>
        <w:tc>
          <w:tcPr>
            <w:tcW w:type="dxa" w:w="1814"/>
            <w:shd w:val="clear" w:fill="0B6B5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Como se detecto</w:t>
            </w:r>
          </w:p>
        </w:tc>
        <w:tc>
          <w:tcPr>
            <w:tcW w:type="dxa" w:w="850"/>
            <w:shd w:val="clear" w:fill="0B6B5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Estado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DEF-001</w:t>
            </w:r>
          </w:p>
        </w:tc>
        <w:tc>
          <w:tcPr>
            <w:tcW w:type="dxa" w:w="2211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El registro publico permitia crear cuentas con cualquier rol</w:t>
            </w:r>
          </w:p>
        </w:tc>
        <w:tc>
          <w:tcPr>
            <w:tcW w:type="dxa" w:w="2438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El servicio tomaba el rol del cuerpo de la peticion sin validarlo</w:t>
            </w:r>
          </w:p>
        </w:tc>
        <w:tc>
          <w:tcPr>
            <w:tcW w:type="dxa" w:w="680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Critica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Revision de seguridad del codigo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Cerrado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DEF-002</w:t>
            </w:r>
          </w:p>
        </w:tc>
        <w:tc>
          <w:tcPr>
            <w:tcW w:type="dxa" w:w="2211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Un cliente podia ver el expediente completo de otro cambiando el identificador</w:t>
            </w:r>
          </w:p>
        </w:tc>
        <w:tc>
          <w:tcPr>
            <w:tcW w:type="dxa" w:w="2438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Las rutas comprobaban autenticacion pero no propiedad del recurso</w:t>
            </w:r>
          </w:p>
        </w:tc>
        <w:tc>
          <w:tcPr>
            <w:tcW w:type="dxa" w:w="680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Critica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Revision de seguridad del codigo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Cerrado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DEF-003</w:t>
            </w:r>
          </w:p>
        </w:tc>
        <w:tc>
          <w:tcPr>
            <w:tcW w:type="dxa" w:w="2211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La consulta publica devolvia nombre, correo, cotizacion y factura</w:t>
            </w:r>
          </w:p>
        </w:tc>
        <w:tc>
          <w:tcPr>
            <w:tcW w:type="dxa" w:w="2438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El endpoint devolvia la entidad completa en lugar de una proyeccion</w:t>
            </w:r>
          </w:p>
        </w:tc>
        <w:tc>
          <w:tcPr>
            <w:tcW w:type="dxa" w:w="680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Alta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Inspeccion de la respuesta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Cerrado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DEF-004</w:t>
            </w:r>
          </w:p>
        </w:tc>
        <w:tc>
          <w:tcPr>
            <w:tcW w:type="dxa" w:w="2211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Restablecer la contrasena no cerraba las sesiones abiertas</w:t>
            </w:r>
          </w:p>
        </w:tc>
        <w:tc>
          <w:tcPr>
            <w:tcW w:type="dxa" w:w="2438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El token seguia siendo valido hasta caducar; un JWT sin estado no lo hace solo</w:t>
            </w:r>
          </w:p>
        </w:tc>
        <w:tc>
          <w:tcPr>
            <w:tcW w:type="dxa" w:w="680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Alta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Revision contra la guia de OWASP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Cerrado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DEF-005</w:t>
            </w:r>
          </w:p>
        </w:tc>
        <w:tc>
          <w:tcPr>
            <w:tcW w:type="dxa" w:w="2211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Si faltaba una variable de entorno, el origen permitido caia a comodin</w:t>
            </w:r>
          </w:p>
        </w:tc>
        <w:tc>
          <w:tcPr>
            <w:tcW w:type="dxa" w:w="2438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La configuracion de CORS usaba un valor por defecto abierto</w:t>
            </w:r>
          </w:p>
        </w:tc>
        <w:tc>
          <w:tcPr>
            <w:tcW w:type="dxa" w:w="680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Media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Revision de configuracion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Cerrado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DEF-006</w:t>
            </w:r>
          </w:p>
        </w:tc>
        <w:tc>
          <w:tcPr>
            <w:tcW w:type="dxa" w:w="2211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El chequeo de salud respondia correcto con la base de datos caida</w:t>
            </w:r>
          </w:p>
        </w:tc>
        <w:tc>
          <w:tcPr>
            <w:tcW w:type="dxa" w:w="2438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No consultaba la base: solo confirmaba que el proceso estaba vivo</w:t>
            </w:r>
          </w:p>
        </w:tc>
        <w:tc>
          <w:tcPr>
            <w:tcW w:type="dxa" w:w="680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Media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Prueba con la base desconectada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Cerrado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DEF-007</w:t>
            </w:r>
          </w:p>
        </w:tc>
        <w:tc>
          <w:tcPr>
            <w:tcW w:type="dxa" w:w="2211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Nada impedia inundar de correos a un usuario</w:t>
            </w:r>
          </w:p>
        </w:tc>
        <w:tc>
          <w:tcPr>
            <w:tcW w:type="dxa" w:w="2438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Las rutas de recuperacion no tenian limite de intentos</w:t>
            </w:r>
          </w:p>
        </w:tc>
        <w:tc>
          <w:tcPr>
            <w:tcW w:type="dxa" w:w="680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Media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Revision contra la guia de OWASP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Cerrado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DEF-008</w:t>
            </w:r>
          </w:p>
        </w:tc>
        <w:tc>
          <w:tcPr>
            <w:tcW w:type="dxa" w:w="2211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El formulario de inicio de sesion envia un valor de prueba fijo en lugar del token del captcha</w:t>
            </w:r>
          </w:p>
        </w:tc>
        <w:tc>
          <w:tcPr>
            <w:tcW w:type="dxa" w:w="2438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El componente visual del reCAPTCHA nunca se conecto</w:t>
            </w:r>
          </w:p>
        </w:tc>
        <w:tc>
          <w:tcPr>
            <w:tcW w:type="dxa" w:w="680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Alta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Inspeccion del codigo del cliente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Abierto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DEF-009</w:t>
            </w:r>
          </w:p>
        </w:tc>
        <w:tc>
          <w:tcPr>
            <w:tcW w:type="dxa" w:w="2211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Los correos no llegan al destinatario</w:t>
            </w:r>
          </w:p>
        </w:tc>
        <w:tc>
          <w:tcPr>
            <w:tcW w:type="dxa" w:w="2438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No hay proveedor de correo configurado: se usa una cuenta de prueba</w:t>
            </w:r>
          </w:p>
        </w:tc>
        <w:tc>
          <w:tcPr>
            <w:tcW w:type="dxa" w:w="680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Alta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Prueba del flujo de recuperacion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Abierto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DEF-010</w:t>
            </w:r>
          </w:p>
        </w:tc>
        <w:tc>
          <w:tcPr>
            <w:tcW w:type="dxa" w:w="2211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Las tablas de tokens e historial pueden no existir en la base compartida</w:t>
            </w:r>
          </w:p>
        </w:tc>
        <w:tc>
          <w:tcPr>
            <w:tcW w:type="dxa" w:w="2438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Los modelos estan en el esquema pero no hay migracion que los cree</w:t>
            </w:r>
          </w:p>
        </w:tc>
        <w:tc>
          <w:tcPr>
            <w:tcW w:type="dxa" w:w="680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Alta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Inspeccion del control de migraciones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Abierto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DEF-011</w:t>
            </w:r>
          </w:p>
        </w:tc>
        <w:tc>
          <w:tcPr>
            <w:tcW w:type="dxa" w:w="2211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El inventario no se descuenta al completar una reparacion</w:t>
            </w:r>
          </w:p>
        </w:tc>
        <w:tc>
          <w:tcPr>
            <w:tcW w:type="dxa" w:w="2438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No se implemento el movimiento automatico de salida</w:t>
            </w:r>
          </w:p>
        </w:tc>
        <w:tc>
          <w:tcPr>
            <w:tcW w:type="dxa" w:w="680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Baja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Revision funcional del flujo completo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Aceptado como deuda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DEF-012</w:t>
            </w:r>
          </w:p>
        </w:tc>
        <w:tc>
          <w:tcPr>
            <w:tcW w:type="dxa" w:w="2211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El metodo de pago admite cualquier texto</w:t>
            </w:r>
          </w:p>
        </w:tc>
        <w:tc>
          <w:tcPr>
            <w:tcW w:type="dxa" w:w="2438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El campo es texto libre en lugar de una lista controlada</w:t>
            </w:r>
          </w:p>
        </w:tc>
        <w:tc>
          <w:tcPr>
            <w:tcW w:type="dxa" w:w="680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Baja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Revision del modelo de datos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Aceptado como deuda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Calibri" w:hAnsi="Calibri"/>
          <w:b/>
          <w:color w:val="0B6B57"/>
          <w:sz w:val="24"/>
        </w:rPr>
        <w:t>6.1  Que se cambio en el proceso a partir de los defectos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247"/>
            <w:shd w:val="clear" w:fill="0B6B5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Defecto</w:t>
            </w:r>
          </w:p>
        </w:tc>
        <w:tc>
          <w:tcPr>
            <w:tcW w:type="dxa" w:w="7937"/>
            <w:shd w:val="clear" w:fill="0B6B5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Cambio permanente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DEF-001</w:t>
            </w:r>
          </w:p>
        </w:tc>
        <w:tc>
          <w:tcPr>
            <w:tcW w:type="dxa" w:w="7937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El validador rechaza cualquier rol distinto de cliente y el servicio lo fuerza ademas por su cuenta.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DEF-002</w:t>
            </w:r>
          </w:p>
        </w:tc>
        <w:tc>
          <w:tcPr>
            <w:tcW w:type="dxa" w:w="7937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Middleware de propiedad aplicado a todas las rutas accesibles al rol cliente.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DEF-003</w:t>
            </w:r>
          </w:p>
        </w:tc>
        <w:tc>
          <w:tcPr>
            <w:tcW w:type="dxa" w:w="7937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El repositorio declara la lista de campos publicos en lugar de devolver la entidad.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DEF-004</w:t>
            </w:r>
          </w:p>
        </w:tc>
        <w:tc>
          <w:tcPr>
            <w:tcW w:type="dxa" w:w="7937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El middleware compara la fecha de emision del token con la del ultimo cambio de contrasena.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DEF-005</w:t>
            </w:r>
          </w:p>
        </w:tc>
        <w:tc>
          <w:tcPr>
            <w:tcW w:type="dxa" w:w="7937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Validacion de variables al arranque: sin la URL del frontend la aplicacion no inicia.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DEF-006</w:t>
            </w:r>
          </w:p>
        </w:tc>
        <w:tc>
          <w:tcPr>
            <w:tcW w:type="dxa" w:w="7937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El chequeo de salud ejecuta una consulta real contra PostgreSQL.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DEF-007</w:t>
            </w:r>
          </w:p>
        </w:tc>
        <w:tc>
          <w:tcPr>
            <w:tcW w:type="dxa" w:w="7937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Middleware de limite de intentos por origen y correo en las cuatro rutas sensibles.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DEF-011</w:t>
            </w:r>
          </w:p>
        </w:tc>
        <w:tc>
          <w:tcPr>
            <w:tcW w:type="dxa" w:w="7937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Pendiente. Queda registrado como deuda DT-04 para la siguiente version.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DEF-012</w:t>
            </w:r>
          </w:p>
        </w:tc>
        <w:tc>
          <w:tcPr>
            <w:tcW w:type="dxa" w:w="7937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Pendiente. Queda registrado como deuda DT-06 para la siguiente version.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60" w:after="160"/>
        <w:pBdr>
          <w:bottom w:val="single" w:sz="6" w:color="0B6B57"/>
        </w:pBdr>
      </w:pPr>
      <w:r>
        <w:rPr>
          <w:rFonts w:ascii="Calibri" w:hAnsi="Calibri"/>
          <w:b/>
          <w:color w:val="0A5647"/>
          <w:sz w:val="30"/>
        </w:rPr>
        <w:t>7. Criterios de aceptacion</w:t>
      </w:r>
    </w:p>
    <w:p>
      <w:pPr>
        <w:spacing w:before="0" w:after="120"/>
      </w:pPr>
      <w:r>
        <w:rPr>
          <w:rFonts w:ascii="Calibri" w:hAnsi="Calibri"/>
          <w:b w:val="0"/>
          <w:color w:val="111827"/>
          <w:sz w:val="21"/>
        </w:rPr>
        <w:t>Cada criterio es verificable por una persona ajena al equipo, con la aplicacion en ejecucion. Se indica el resultado esperado, no una opinion.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850"/>
            <w:shd w:val="clear" w:fill="0B6B5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061"/>
            <w:shd w:val="clear" w:fill="0B6B5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Criterio</w:t>
            </w:r>
          </w:p>
        </w:tc>
        <w:tc>
          <w:tcPr>
            <w:tcW w:type="dxa" w:w="3969"/>
            <w:shd w:val="clear" w:fill="0B6B5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Como se comprueba</w:t>
            </w:r>
          </w:p>
        </w:tc>
        <w:tc>
          <w:tcPr>
            <w:tcW w:type="dxa" w:w="1304"/>
            <w:shd w:val="clear" w:fill="0B6B5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Estado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CA-01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Los cuatro roles inician sesion y llegan a su pantalla principal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Demostracion en vivo</w:t>
            </w:r>
          </w:p>
        </w:tc>
        <w:tc>
          <w:tcPr>
            <w:tcW w:type="dxa" w:w="1304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Verificado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CA-02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Una orden recorre el ciclo completo hasta entregada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Demostracion en vivo</w:t>
            </w:r>
          </w:p>
        </w:tc>
        <w:tc>
          <w:tcPr>
            <w:tcW w:type="dxa" w:w="1304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Verificado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CA-03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El historial muestra quien hizo cada cambio y cuando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Inspeccion de la orden demostrada</w:t>
            </w:r>
          </w:p>
        </w:tc>
        <w:tc>
          <w:tcPr>
            <w:tcW w:type="dxa" w:w="1304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Verificado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CA-04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El cliente ve la linea de tiempo de su orden en el portal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Demostracion en vivo</w:t>
            </w:r>
          </w:p>
        </w:tc>
        <w:tc>
          <w:tcPr>
            <w:tcW w:type="dxa" w:w="1304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Verificado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CA-05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La consulta publica por codigo funciona sin iniciar sesion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Demostracion en vivo</w:t>
            </w:r>
          </w:p>
        </w:tc>
        <w:tc>
          <w:tcPr>
            <w:tcW w:type="dxa" w:w="1304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Verificado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CA-06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La consulta publica no expone datos personales ni economicos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Inspeccion de la respuesta</w:t>
            </w:r>
          </w:p>
        </w:tc>
        <w:tc>
          <w:tcPr>
            <w:tcW w:type="dxa" w:w="1304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Verificado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CA-07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Un cliente no puede ver datos de otro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Prueba de acceso denegado</w:t>
            </w:r>
          </w:p>
        </w:tc>
        <w:tc>
          <w:tcPr>
            <w:tcW w:type="dxa" w:w="1304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Verificado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CA-08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El administrador crea y desactiva cuentas de personal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Demostracion en vivo</w:t>
            </w:r>
          </w:p>
        </w:tc>
        <w:tc>
          <w:tcPr>
            <w:tcW w:type="dxa" w:w="1304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Verificado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CA-09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No se puede desactivar el ultimo administrador activo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Prueba dirigida</w:t>
            </w:r>
          </w:p>
        </w:tc>
        <w:tc>
          <w:tcPr>
            <w:tcW w:type="dxa" w:w="1304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Verificado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CA-10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El usuario recupera su contrasena y la anterior deja de servir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Demostracion en vivo</w:t>
            </w:r>
          </w:p>
        </w:tc>
        <w:tc>
          <w:tcPr>
            <w:tcW w:type="dxa" w:w="1304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Pendiente de migracion y correo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CA-11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El inicio de sesion exige superar la verificacion anti-automatizacion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Demostracion en vivo</w:t>
            </w:r>
          </w:p>
        </w:tc>
        <w:tc>
          <w:tcPr>
            <w:tcW w:type="dxa" w:w="1304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Pendiente: DEF-008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Calibri" w:hAnsi="Calibri"/>
          <w:b/>
          <w:color w:val="0B6B57"/>
          <w:sz w:val="24"/>
        </w:rPr>
        <w:t>7.1  Criterios que no se pueden declarar aprobados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608"/>
            <w:shd w:val="clear" w:fill="0B6B5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Criterio</w:t>
            </w:r>
          </w:p>
        </w:tc>
        <w:tc>
          <w:tcPr>
            <w:tcW w:type="dxa" w:w="2948"/>
            <w:shd w:val="clear" w:fill="0B6B5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Por que no</w:t>
            </w:r>
          </w:p>
        </w:tc>
        <w:tc>
          <w:tcPr>
            <w:tcW w:type="dxa" w:w="3628"/>
            <w:shd w:val="clear" w:fill="0B6B5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Que haria falta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Medicion de cobertura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Hay pruebas, pero no se mide que porcentaje del codigo recorren.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Activar el informe de cobertura de node --test y fijar un umbral minimo.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Verificacion de rendimiento bajo carga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El volumen de la demostracion no lo justifica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Un generador de carga y un conjunto de datos de volumen realista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60" w:after="160"/>
        <w:pBdr>
          <w:bottom w:val="single" w:sz="6" w:color="0B6B57"/>
        </w:pBdr>
      </w:pPr>
      <w:r>
        <w:rPr>
          <w:rFonts w:ascii="Calibri" w:hAnsi="Calibri"/>
          <w:b/>
          <w:color w:val="0A5647"/>
          <w:sz w:val="30"/>
        </w:rPr>
        <w:t>8. Recorrido de verificacion manual</w:t>
      </w:r>
    </w:p>
    <w:p>
      <w:pPr>
        <w:spacing w:before="0" w:after="120"/>
      </w:pPr>
      <w:r>
        <w:rPr>
          <w:rFonts w:ascii="Calibri" w:hAnsi="Calibri"/>
          <w:b w:val="0"/>
          <w:color w:val="111827"/>
          <w:sz w:val="21"/>
        </w:rPr>
        <w:t>Siete pasos que recorren toda la aplicacion. Sirven como demostracion y como prueba de humo despues de un despliegue.</w:t>
      </w:r>
    </w:p>
    <w:p>
      <w:pPr>
        <w:spacing w:after="80"/>
        <w:ind w:left="454"/>
      </w:pPr>
      <w:r>
        <w:rPr>
          <w:rFonts w:ascii="Calibri" w:hAnsi="Calibri"/>
          <w:b/>
          <w:color w:val="0B6B57"/>
        </w:rPr>
        <w:t xml:space="preserve">1.  </w:t>
      </w:r>
      <w:r>
        <w:rPr>
          <w:rFonts w:ascii="Calibri" w:hAnsi="Calibri"/>
          <w:sz w:val="21"/>
        </w:rPr>
        <w:t>Crear una cuenta con un correo nuevo, tomar el codigo del registro del servidor y verificar.</w:t>
      </w:r>
    </w:p>
    <w:p>
      <w:pPr>
        <w:spacing w:after="80"/>
        <w:ind w:left="454"/>
      </w:pPr>
      <w:r>
        <w:rPr>
          <w:rFonts w:ascii="Calibri" w:hAnsi="Calibri"/>
          <w:b/>
          <w:color w:val="0B6B57"/>
        </w:rPr>
        <w:t xml:space="preserve">2.  </w:t>
      </w:r>
      <w:r>
        <w:rPr>
          <w:rFonts w:ascii="Calibri" w:hAnsi="Calibri"/>
          <w:sz w:val="21"/>
        </w:rPr>
        <w:t>En Cuentas, crear una de ahorros con 2.000.000 y una tarjeta de credito con 800.000. Comprobar que el disponible muestre 2.000.000 y no 2.800.000.</w:t>
      </w:r>
    </w:p>
    <w:p>
      <w:pPr>
        <w:spacing w:after="80"/>
        <w:ind w:left="454"/>
      </w:pPr>
      <w:r>
        <w:rPr>
          <w:rFonts w:ascii="Calibri" w:hAnsi="Calibri"/>
          <w:b/>
          <w:color w:val="0B6B57"/>
        </w:rPr>
        <w:t xml:space="preserve">3.  </w:t>
      </w:r>
      <w:r>
        <w:rPr>
          <w:rFonts w:ascii="Calibri" w:hAnsi="Calibri"/>
          <w:sz w:val="21"/>
        </w:rPr>
        <w:t>En Inicio, anotar un ingreso de 1.500.000 en Salario y dos gastos: 400.000 en Alimentacion y 150.000 en Transporte.</w:t>
      </w:r>
    </w:p>
    <w:p>
      <w:pPr>
        <w:spacing w:after="80"/>
        <w:ind w:left="454"/>
      </w:pPr>
      <w:r>
        <w:rPr>
          <w:rFonts w:ascii="Calibri" w:hAnsi="Calibri"/>
          <w:b/>
          <w:color w:val="0B6B57"/>
        </w:rPr>
        <w:t xml:space="preserve">4.  </w:t>
      </w:r>
      <w:r>
        <w:rPr>
          <w:rFonts w:ascii="Calibri" w:hAnsi="Calibri"/>
          <w:sz w:val="21"/>
        </w:rPr>
        <w:t>Revisar que el resumen de hoy y la composicion del gasto coincidan con lo registrado.</w:t>
      </w:r>
    </w:p>
    <w:p>
      <w:pPr>
        <w:spacing w:after="80"/>
        <w:ind w:left="454"/>
      </w:pPr>
      <w:r>
        <w:rPr>
          <w:rFonts w:ascii="Calibri" w:hAnsi="Calibri"/>
          <w:b/>
          <w:color w:val="0B6B57"/>
        </w:rPr>
        <w:t xml:space="preserve">5.  </w:t>
      </w:r>
      <w:r>
        <w:rPr>
          <w:rFonts w:ascii="Calibri" w:hAnsi="Calibri"/>
          <w:sz w:val="21"/>
        </w:rPr>
        <w:t>En Presupuestos, poner un limite de 300.000 en Alimentacion. Debe marcar 133% y excedido, y aparecer como alerta en el inicio.</w:t>
      </w:r>
    </w:p>
    <w:p>
      <w:pPr>
        <w:spacing w:after="80"/>
        <w:ind w:left="454"/>
      </w:pPr>
      <w:r>
        <w:rPr>
          <w:rFonts w:ascii="Calibri" w:hAnsi="Calibri"/>
          <w:b/>
          <w:color w:val="0B6B57"/>
        </w:rPr>
        <w:t xml:space="preserve">6.  </w:t>
      </w:r>
      <w:r>
        <w:rPr>
          <w:rFonts w:ascii="Calibri" w:hAnsi="Calibri"/>
          <w:sz w:val="21"/>
        </w:rPr>
        <w:t>En Obligaciones, registrar una deuda de 2.400.000 al 24% con cuota de 300.000. Pagar 30.000 y comprobar que la deuda no baja y que el sistema lo advierte. Pagar 300.000 y revisar el desglose: 48.000 de interes y 252.000 a capital.</w:t>
      </w:r>
    </w:p>
    <w:p>
      <w:pPr>
        <w:spacing w:after="80"/>
        <w:ind w:left="454"/>
      </w:pPr>
      <w:r>
        <w:rPr>
          <w:rFonts w:ascii="Calibri" w:hAnsi="Calibri"/>
          <w:b/>
          <w:color w:val="0B6B57"/>
        </w:rPr>
        <w:t xml:space="preserve">7.  </w:t>
      </w:r>
      <w:r>
        <w:rPr>
          <w:rFonts w:ascii="Calibri" w:hAnsi="Calibri"/>
          <w:sz w:val="21"/>
        </w:rPr>
        <w:t>En Metas, crear una de 1.000.000, abonar 250.000 y verificar el 25%. Intentar abonar 5.000.000 y comprobar que se rechaza.</w:t>
      </w:r>
    </w:p>
    <w:p>
      <w:pPr>
        <w:spacing w:before="0" w:after="120"/>
      </w:pPr>
      <w:r>
        <w:rPr>
          <w:rFonts w:ascii="Calibri" w:hAnsi="Calibri"/>
          <w:b w:val="0"/>
          <w:color w:val="111827"/>
          <w:sz w:val="21"/>
        </w:rPr>
        <w:t>Los pasos 5 y 6 son los que conviene mostrar con calma: es donde la aplicacion dice la verdad incomoda en lugar de simular un avance.</w:t>
      </w:r>
    </w:p>
    <w:p>
      <w:pPr>
        <w:spacing w:before="240" w:after="80"/>
      </w:pPr>
      <w:r>
        <w:rPr>
          <w:rFonts w:ascii="Calibri" w:hAnsi="Calibri"/>
          <w:b/>
          <w:color w:val="0B6B57"/>
          <w:sz w:val="24"/>
        </w:rPr>
        <w:t>8.1  Resultado de la ejecucion</w:t>
      </w:r>
    </w:p>
    <w:p>
      <w:pPr>
        <w:spacing w:before="0" w:after="120"/>
      </w:pPr>
      <w:r>
        <w:rPr>
          <w:rFonts w:ascii="Calibri" w:hAnsi="Calibri"/>
          <w:b w:val="0"/>
          <w:color w:val="111827"/>
          <w:sz w:val="21"/>
        </w:rPr>
        <w:t>El recorrido de verificacion se ejecuto completo el 11/09/2026 sobre la aplicacion en marcha, con la base de datos compartida en Neon y los datos de la semilla. Lo ejecutaron los tres integrantes del equipo, cada uno sobre el alcance que tiene asignado en este documento.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val="clear" w:fill="0B6B5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Paso</w:t>
            </w:r>
          </w:p>
        </w:tc>
        <w:tc>
          <w:tcPr>
            <w:tcW w:type="dxa" w:w="5102"/>
            <w:shd w:val="clear" w:fill="0B6B5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Resultado</w:t>
            </w:r>
          </w:p>
        </w:tc>
        <w:tc>
          <w:tcPr>
            <w:tcW w:type="dxa" w:w="1247"/>
            <w:shd w:val="clear" w:fill="0B6B5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Estado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1. Entrar como administrador y mostrar el panel de indicadores</w:t>
            </w:r>
          </w:p>
        </w:tc>
        <w:tc>
          <w:tcPr>
            <w:tcW w:type="dxa" w:w="5102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Ordenes por estado y repuestos bajo minimo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Listo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2. Crear una cuenta de mecanico desde el modulo de usuarios</w:t>
            </w:r>
          </w:p>
        </w:tc>
        <w:tc>
          <w:tcPr>
            <w:tcW w:type="dxa" w:w="5102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La cuenta aparece y puede iniciar sesion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Listo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3. Entrar como recepcionista, registrar cliente, motocicleta y abrir una orden</w:t>
            </w:r>
          </w:p>
        </w:tc>
        <w:tc>
          <w:tcPr>
            <w:tcW w:type="dxa" w:w="5102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Se genera el codigo publico de seguimiento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Listo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4. Asignar el mecanico y hacer avanzar la orden</w:t>
            </w:r>
          </w:p>
        </w:tc>
        <w:tc>
          <w:tcPr>
            <w:tcW w:type="dxa" w:w="5102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La transicion invalida se rechaza con mensaje claro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Listo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5. Entrar como mecanico, registrar diagnostico y cotizacion</w:t>
            </w:r>
          </w:p>
        </w:tc>
        <w:tc>
          <w:tcPr>
            <w:tcW w:type="dxa" w:w="5102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El total se calcula sobre mano de obra e items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Listo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6. Mostrar el historial de la orden</w:t>
            </w:r>
          </w:p>
        </w:tc>
        <w:tc>
          <w:tcPr>
            <w:tcW w:type="dxa" w:w="5102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Cada cambio con su autor y su fecha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Listo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7. Entrar como cliente y mostrar la linea de tiempo del portal</w:t>
            </w:r>
          </w:p>
        </w:tc>
        <w:tc>
          <w:tcPr>
            <w:tcW w:type="dxa" w:w="5102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Cinco pasos legibles con fecha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Listo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8. Consultar el seguimiento publico por codigo, sin sesion</w:t>
            </w:r>
          </w:p>
        </w:tc>
        <w:tc>
          <w:tcPr>
            <w:tcW w:type="dxa" w:w="5102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Avance visible y ningun dato personal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Listo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DCF2EC"/>
          </w:tcPr>
          <w:p>
            <w:r>
              <w:rPr>
                <w:rFonts w:ascii="Calibri" w:hAnsi="Calibri"/>
                <w:b/>
                <w:color w:val="0B6B57"/>
                <w:sz w:val="21"/>
              </w:rPr>
              <w:t>Los ocho pasos quedaron aprobados como guion de la demostracion</w:t>
            </w:r>
            <w:r>
              <w:rPr>
                <w:rFonts w:ascii="Calibri" w:hAnsi="Calibri"/>
                <w:color w:val="374151"/>
                <w:sz w:val="20"/>
              </w:rPr>
            </w:r>
          </w:p>
          <w:p>
            <w:r>
              <w:rPr>
                <w:rFonts w:ascii="Calibri" w:hAnsi="Calibri"/>
                <w:b/>
                <w:color w:val="0B6B57"/>
                <w:sz w:val="21"/>
              </w:rPr>
              <w:t>El orden importa: cada paso deja preparado el siguiente, de modo que la demostracion cuenta la historia de una motocicleta que entra al taller y sale reparada. Si un paso falla en vivo, conviene seguir con el siguiente y volver despues, en vez de detener la sustentacion para depurar.</w:t>
            </w:r>
            <w:r>
              <w:rPr>
                <w:rFonts w:ascii="Calibri" w:hAnsi="Calibri"/>
                <w:color w:val="374151"/>
                <w:sz w:val="20"/>
              </w:rPr>
            </w:r>
          </w:p>
        </w:tc>
      </w:tr>
    </w:tbl>
    <w:p>
      <w:pPr>
        <w:spacing w:after="40"/>
      </w:pPr>
    </w:p>
    <w:p>
      <w:pPr>
        <w:spacing w:before="360" w:after="160"/>
        <w:pBdr>
          <w:bottom w:val="single" w:sz="6" w:color="0B6B57"/>
        </w:pBdr>
      </w:pPr>
      <w:r>
        <w:rPr>
          <w:rFonts w:ascii="Calibri" w:hAnsi="Calibri"/>
          <w:b/>
          <w:color w:val="0A5647"/>
          <w:sz w:val="30"/>
        </w:rPr>
        <w:t>9. Evidencias y deuda de calidad</w:t>
      </w:r>
    </w:p>
    <w:p>
      <w:pPr>
        <w:spacing w:before="240" w:after="80"/>
      </w:pPr>
      <w:r>
        <w:rPr>
          <w:rFonts w:ascii="Calibri" w:hAnsi="Calibri"/>
          <w:b/>
          <w:color w:val="0B6B57"/>
          <w:sz w:val="24"/>
        </w:rPr>
        <w:t>9.1  Donde estan las evidencias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061"/>
            <w:shd w:val="clear" w:fill="0B6B5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Evidencia</w:t>
            </w:r>
          </w:p>
        </w:tc>
        <w:tc>
          <w:tcPr>
            <w:tcW w:type="dxa" w:w="6123"/>
            <w:shd w:val="clear" w:fill="0B6B5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Ubicacion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Registro de casos de prueba ejecutados</w:t>
            </w:r>
          </w:p>
        </w:tc>
        <w:tc>
          <w:tcPr>
            <w:tcW w:type="dxa" w:w="6123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Este documento, secciones de clases y escenarios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Registro de defectos con causa raiz</w:t>
            </w:r>
          </w:p>
        </w:tc>
        <w:tc>
          <w:tcPr>
            <w:tcW w:type="dxa" w:w="6123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Este documento, seccion de defectos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Capturas de la demostracion</w:t>
            </w:r>
          </w:p>
        </w:tc>
        <w:tc>
          <w:tcPr>
            <w:tcW w:type="dxa" w:w="6123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/docs/calidad/evidencias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Video de presentacion</w:t>
            </w:r>
          </w:p>
        </w:tc>
        <w:tc>
          <w:tcPr>
            <w:tcW w:type="dxa" w:w="6123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/docs/calidad/evidencias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Coleccion de la API</w:t>
            </w:r>
          </w:p>
        </w:tc>
        <w:tc>
          <w:tcPr>
            <w:tcW w:type="dxa" w:w="6123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/docs/calidad/coleccion-postman.json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Calibri" w:hAnsi="Calibri"/>
          <w:b/>
          <w:color w:val="0B6B57"/>
          <w:sz w:val="24"/>
        </w:rPr>
        <w:t>9.2  Deuda de calidad reconocida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020"/>
            <w:shd w:val="clear" w:fill="0B6B5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6463"/>
            <w:shd w:val="clear" w:fill="0B6B5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Descripcion</w:t>
            </w:r>
          </w:p>
        </w:tc>
        <w:tc>
          <w:tcPr>
            <w:tcW w:type="dxa" w:w="1701"/>
            <w:shd w:val="clear" w:fill="0B6B5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Prioridad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PEN-01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Construir las pruebas unitarias del nucleo: tokens de seguridad, maquina de estados y reglas de permisos.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Alta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PEN-02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Configurar la integracion continua para que ejecute analisis y pruebas en cada envio.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Alta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PEN-03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Cerrar DEF-008, DEF-009 y DEF-010 antes de la congelacion del codigo.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Critica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PEN-04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Exportar la coleccion de la API al repositorio como evidencia de verificacion.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Media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PEN-05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Tomar las capturas de la demostracion para el manual de usuario.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Calibri" w:hAnsi="Calibri"/>
                <w:color w:val="111827"/>
                <w:sz w:val="19"/>
              </w:rPr>
              <w:t>Media</w:t>
            </w:r>
          </w:p>
        </w:tc>
      </w:tr>
    </w:tbl>
    <w:p>
      <w:pPr>
        <w:spacing w:after="40"/>
      </w:pPr>
    </w:p>
    <w:p>
      <w:pPr>
        <w:spacing w:before="360" w:after="120"/>
      </w:pPr>
      <w:r>
        <w:rPr>
          <w:rFonts w:ascii="Calibri" w:hAnsi="Calibri"/>
          <w:b/>
          <w:color w:val="0A5647"/>
          <w:sz w:val="21"/>
        </w:rPr>
        <w:t>FIN DEL DOCUMENTO</w:t>
      </w:r>
    </w:p>
    <w:p>
      <w:pPr>
        <w:spacing w:before="0" w:after="120"/>
      </w:pPr>
      <w:r>
        <w:rPr>
          <w:rFonts w:ascii="Calibri" w:hAnsi="Calibri"/>
          <w:b w:val="0"/>
          <w:color w:val="6B7280"/>
          <w:sz w:val="18"/>
        </w:rPr>
        <w:t>Centro de Tecnologia de la Manufactura Avanzada — SENA Regional Antioquia  ·  Ficha 3114227  ·  Agosto de 2026</w:t>
      </w: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B7280"/>
        <w:sz w:val="16"/>
      </w:rPr>
      <w:t>SIGTM — Plan de Calidad, Pruebas y Aceptacion  |  ADSO-CAL-01 / DOC-10  |  Version 1.5  |  11/09/2026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