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120"/>
        <w:jc w:val="center"/>
        <w:rPr/>
      </w:pPr>
      <w:r>
        <w:rPr>
          <w:b/>
          <w:color w:val="39A900"/>
          <w:sz w:val="28"/>
        </w:rPr>
        <w:t>SERVICIO NACIONAL DE APRENDIZAJE – SENA</w:t>
      </w:r>
    </w:p>
    <w:p>
      <w:pPr>
        <w:pStyle w:val="Normal"/>
        <w:spacing w:before="880" w:after="120"/>
        <w:jc w:val="center"/>
        <w:rPr/>
      </w:pPr>
      <w:r>
        <w:rPr>
          <w:b/>
          <w:color w:val="1F3A5F"/>
          <w:sz w:val="60"/>
        </w:rPr>
        <w:t>ARQUITECTURA DOCUMENTAL DEL PROYECTO</w:t>
      </w:r>
    </w:p>
    <w:p>
      <w:pPr>
        <w:pStyle w:val="Normal"/>
        <w:jc w:val="center"/>
        <w:rPr/>
      </w:pPr>
      <w:r>
        <w:rPr>
          <w:b/>
          <w:color w:val="2D58C8"/>
          <w:sz w:val="40"/>
        </w:rPr>
        <w:t>SIGTM — SISTEMA INTEGRAL DE GESTIÓN PARA TALLERES DE MOTOCICLETAS</w:t>
      </w:r>
    </w:p>
    <w:p>
      <w:pPr>
        <w:pStyle w:val="Normal"/>
        <w:jc w:val="center"/>
        <w:rPr/>
      </w:pPr>
      <w:r>
        <w:rPr>
          <w:color w:val="4B5563"/>
          <w:sz w:val="28"/>
        </w:rPr>
        <w:t>Tecnología en Análisis y Desarrollo de Software – ADSO</w:t>
      </w:r>
    </w:p>
    <w:tbl>
      <w:tblPr>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fill="39A900"/>
          </w:tcPr>
          <w:p>
            <w:pPr>
              <w:pStyle w:val="Normal"/>
              <w:widowControl/>
              <w:bidi w:val="0"/>
              <w:spacing w:lineRule="auto" w:line="268" w:before="0" w:after="120"/>
              <w:jc w:val="left"/>
              <w:rPr/>
            </w:pPr>
            <w:r>
              <w:rPr/>
            </w:r>
          </w:p>
        </w:tc>
        <w:tc>
          <w:tcPr>
            <w:tcW w:w="3312" w:type="dxa"/>
            <w:tcBorders/>
            <w:shd w:fill="2D58C8"/>
          </w:tcPr>
          <w:p>
            <w:pPr>
              <w:pStyle w:val="Normal"/>
              <w:widowControl/>
              <w:bidi w:val="0"/>
              <w:spacing w:lineRule="auto" w:line="268" w:before="0" w:after="120"/>
              <w:jc w:val="left"/>
              <w:rPr/>
            </w:pPr>
            <w:r>
              <w:rPr/>
            </w:r>
          </w:p>
        </w:tc>
        <w:tc>
          <w:tcPr>
            <w:tcW w:w="3312" w:type="dxa"/>
            <w:tcBorders/>
            <w:shd w:fill="1F3A5F"/>
          </w:tcPr>
          <w:p>
            <w:pPr>
              <w:pStyle w:val="Normal"/>
              <w:widowControl/>
              <w:bidi w:val="0"/>
              <w:spacing w:lineRule="auto" w:line="268" w:before="0" w:after="120"/>
              <w:jc w:val="left"/>
              <w:rPr/>
            </w:pPr>
            <w:r>
              <w:rPr/>
            </w:r>
          </w:p>
        </w:tc>
      </w:tr>
    </w:tbl>
    <w:p>
      <w:pPr>
        <w:pStyle w:val="Normal"/>
        <w:spacing w:before="680" w:after="120"/>
        <w:jc w:val="center"/>
        <w:rPr/>
      </w:pPr>
      <w:r>
        <w:rPr>
          <w:i/>
          <w:color w:val="374151"/>
          <w:sz w:val="24"/>
        </w:rPr>
        <w:t>Aplicación de la arquitectura documental institucional al proyecto formativo SIGTM: catálogo de documentos, responsables, estados, trazabilidad y evidencias reales del producto construido.</w:t>
      </w:r>
    </w:p>
    <w:tbl>
      <w:tblPr>
        <w:tblStyle w:val="TableGrid"/>
        <w:tblW w:w="9936"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4968"/>
        <w:gridCol w:w="4967"/>
      </w:tblGrid>
      <w:tr>
        <w:trPr/>
        <w:tc>
          <w:tcPr>
            <w:tcW w:w="4968" w:type="dxa"/>
            <w:tcBorders/>
            <w:shd w:fill="EAF4E4"/>
          </w:tcPr>
          <w:p>
            <w:pPr>
              <w:pStyle w:val="Normal"/>
              <w:widowControl/>
              <w:spacing w:before="0" w:after="120"/>
              <w:jc w:val="left"/>
              <w:rPr>
                <w:rFonts w:cs=""/>
                <w:kern w:val="0"/>
                <w:szCs w:val="22"/>
                <w:lang w:val="en-US" w:eastAsia="en-US" w:bidi="ar-SA"/>
              </w:rPr>
            </w:pPr>
            <w:r>
              <w:rPr>
                <w:rFonts w:cs=""/>
                <w:b/>
                <w:color w:val="1F3A5F"/>
                <w:kern w:val="0"/>
                <w:szCs w:val="22"/>
                <w:lang w:val="en-US" w:eastAsia="en-US" w:bidi="ar-SA"/>
              </w:rPr>
              <w:t>Centro de formación</w:t>
            </w:r>
          </w:p>
        </w:tc>
        <w:tc>
          <w:tcPr>
            <w:tcW w:w="4967"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SENA - Centro de Tecnología de la Manufactura Avanzada</w:t>
            </w:r>
          </w:p>
        </w:tc>
      </w:tr>
      <w:tr>
        <w:trPr/>
        <w:tc>
          <w:tcPr>
            <w:tcW w:w="4968" w:type="dxa"/>
            <w:tcBorders/>
            <w:shd w:fill="EAF4E4"/>
          </w:tcPr>
          <w:p>
            <w:pPr>
              <w:pStyle w:val="Normal"/>
              <w:widowControl/>
              <w:spacing w:before="0" w:after="120"/>
              <w:jc w:val="left"/>
              <w:rPr>
                <w:rFonts w:cs=""/>
                <w:kern w:val="0"/>
                <w:szCs w:val="22"/>
                <w:lang w:val="en-US" w:eastAsia="en-US" w:bidi="ar-SA"/>
              </w:rPr>
            </w:pPr>
            <w:r>
              <w:rPr>
                <w:rFonts w:cs=""/>
                <w:b/>
                <w:color w:val="1F3A5F"/>
                <w:kern w:val="0"/>
                <w:szCs w:val="22"/>
                <w:lang w:val="en-US" w:eastAsia="en-US" w:bidi="ar-SA"/>
              </w:rPr>
              <w:t>Regional</w:t>
            </w:r>
          </w:p>
        </w:tc>
        <w:tc>
          <w:tcPr>
            <w:tcW w:w="4967"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Antioquia</w:t>
            </w:r>
          </w:p>
        </w:tc>
      </w:tr>
      <w:tr>
        <w:trPr/>
        <w:tc>
          <w:tcPr>
            <w:tcW w:w="4968" w:type="dxa"/>
            <w:tcBorders/>
            <w:shd w:fill="EAF4E4"/>
          </w:tcPr>
          <w:p>
            <w:pPr>
              <w:pStyle w:val="Normal"/>
              <w:widowControl/>
              <w:spacing w:before="0" w:after="120"/>
              <w:jc w:val="left"/>
              <w:rPr>
                <w:rFonts w:cs=""/>
                <w:kern w:val="0"/>
                <w:szCs w:val="22"/>
                <w:lang w:val="en-US" w:eastAsia="en-US" w:bidi="ar-SA"/>
              </w:rPr>
            </w:pPr>
            <w:r>
              <w:rPr>
                <w:rFonts w:cs=""/>
                <w:b/>
                <w:color w:val="1F3A5F"/>
                <w:kern w:val="0"/>
                <w:szCs w:val="22"/>
                <w:lang w:val="en-US" w:eastAsia="en-US" w:bidi="ar-SA"/>
              </w:rPr>
              <w:t>Ficha</w:t>
            </w:r>
          </w:p>
        </w:tc>
        <w:tc>
          <w:tcPr>
            <w:tcW w:w="4967"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3114227</w:t>
            </w:r>
          </w:p>
        </w:tc>
      </w:tr>
      <w:tr>
        <w:trPr/>
        <w:tc>
          <w:tcPr>
            <w:tcW w:w="4968" w:type="dxa"/>
            <w:tcBorders/>
            <w:shd w:fill="EAF4E4"/>
          </w:tcPr>
          <w:p>
            <w:pPr>
              <w:pStyle w:val="Normal"/>
              <w:widowControl/>
              <w:spacing w:before="0" w:after="120"/>
              <w:jc w:val="left"/>
              <w:rPr>
                <w:rFonts w:cs=""/>
                <w:kern w:val="0"/>
                <w:szCs w:val="22"/>
                <w:lang w:val="en-US" w:eastAsia="en-US" w:bidi="ar-SA"/>
              </w:rPr>
            </w:pPr>
            <w:r>
              <w:rPr>
                <w:rFonts w:cs=""/>
                <w:b/>
                <w:color w:val="1F3A5F"/>
                <w:kern w:val="0"/>
                <w:szCs w:val="22"/>
                <w:lang w:val="en-US" w:eastAsia="en-US" w:bidi="ar-SA"/>
              </w:rPr>
              <w:t>Instructor(es)</w:t>
            </w:r>
          </w:p>
        </w:tc>
        <w:tc>
          <w:tcPr>
            <w:tcW w:w="4967"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Juan Carlos Quintero Romero</w:t>
            </w:r>
          </w:p>
        </w:tc>
      </w:tr>
      <w:tr>
        <w:trPr/>
        <w:tc>
          <w:tcPr>
            <w:tcW w:w="4968" w:type="dxa"/>
            <w:tcBorders/>
            <w:shd w:fill="EAF4E4"/>
          </w:tcPr>
          <w:p>
            <w:pPr>
              <w:pStyle w:val="Normal"/>
              <w:widowControl/>
              <w:spacing w:before="0" w:after="120"/>
              <w:jc w:val="left"/>
              <w:rPr>
                <w:rFonts w:cs=""/>
                <w:kern w:val="0"/>
                <w:szCs w:val="22"/>
                <w:lang w:val="en-US" w:eastAsia="en-US" w:bidi="ar-SA"/>
              </w:rPr>
            </w:pPr>
            <w:r>
              <w:rPr>
                <w:rFonts w:cs=""/>
                <w:b/>
                <w:color w:val="1F3A5F"/>
                <w:kern w:val="0"/>
                <w:szCs w:val="22"/>
                <w:lang w:val="en-US" w:eastAsia="en-US" w:bidi="ar-SA"/>
              </w:rPr>
              <w:t>Versión</w:t>
            </w:r>
          </w:p>
        </w:tc>
        <w:tc>
          <w:tcPr>
            <w:tcW w:w="4967"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1.0</w:t>
            </w:r>
          </w:p>
        </w:tc>
      </w:tr>
      <w:tr>
        <w:trPr/>
        <w:tc>
          <w:tcPr>
            <w:tcW w:w="4968" w:type="dxa"/>
            <w:tcBorders/>
            <w:shd w:fill="EAF4E4"/>
          </w:tcPr>
          <w:p>
            <w:pPr>
              <w:pStyle w:val="Normal"/>
              <w:widowControl/>
              <w:spacing w:before="0" w:after="120"/>
              <w:jc w:val="left"/>
              <w:rPr>
                <w:rFonts w:cs=""/>
                <w:kern w:val="0"/>
                <w:szCs w:val="22"/>
                <w:lang w:val="en-US" w:eastAsia="en-US" w:bidi="ar-SA"/>
              </w:rPr>
            </w:pPr>
            <w:r>
              <w:rPr>
                <w:rFonts w:cs=""/>
                <w:b/>
                <w:color w:val="1F3A5F"/>
                <w:kern w:val="0"/>
                <w:szCs w:val="22"/>
                <w:lang w:val="en-US" w:eastAsia="en-US" w:bidi="ar-SA"/>
              </w:rPr>
              <w:t>Fecha</w:t>
            </w:r>
          </w:p>
        </w:tc>
        <w:tc>
          <w:tcPr>
            <w:tcW w:w="4967"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2026/09/07</w:t>
            </w:r>
          </w:p>
        </w:tc>
      </w:tr>
    </w:tbl>
    <w:p>
      <w:pPr>
        <w:pStyle w:val="Normal"/>
        <w:spacing w:before="560" w:after="120"/>
        <w:jc w:val="center"/>
        <w:rPr/>
      </w:pPr>
      <w:r>
        <w:rPr>
          <w:b/>
          <w:color w:val="39A900"/>
          <w:sz w:val="22"/>
        </w:rPr>
        <w:t>Documento del proyecto — Nivel 2</w:t>
      </w:r>
    </w:p>
    <w:p>
      <w:pPr>
        <w:pStyle w:val="Normal"/>
        <w:rPr/>
      </w:pPr>
      <w:r>
        <w:rPr/>
      </w:r>
      <w:r>
        <w:br w:type="page"/>
      </w:r>
    </w:p>
    <w:p>
      <w:pPr>
        <w:pStyle w:val="Heading1"/>
        <w:keepNext w:val="true"/>
        <w:pBdr>
          <w:bottom w:val="single" w:sz="18" w:space="1" w:color="39A900"/>
        </w:pBdr>
        <w:spacing w:before="0" w:after="100"/>
        <w:rPr/>
      </w:pPr>
      <w:bookmarkStart w:id="0" w:name="__RefHeading___Toc27156_2471710424"/>
      <w:bookmarkEnd w:id="0"/>
      <w:r>
        <w:rPr/>
        <w:t>Control del documento</w:t>
      </w:r>
    </w:p>
    <w:tbl>
      <w:tblPr>
        <w:tblStyle w:val="TableGrid"/>
        <w:tblW w:w="99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4968"/>
        <w:gridCol w:w="4967"/>
      </w:tblGrid>
      <w:tr>
        <w:trPr>
          <w:tblHeader w:val="true"/>
        </w:trPr>
        <w:tc>
          <w:tcPr>
            <w:tcW w:w="4968"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Campo</w:t>
            </w:r>
          </w:p>
        </w:tc>
        <w:tc>
          <w:tcPr>
            <w:tcW w:w="4967"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Información</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Código del documento</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SIGTM-AD-001</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Nombre</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Arquitectura documental del proyecto SIGTM</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Versión inicial</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1.0</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Estado</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En revisión</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Clasificación</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Documento del proyecto (Nivel 2)</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Elaboración</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Equipo de desarrollo SIGTM</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Revisión</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Líder del proyecto e instructor</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Aprobación</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Instructor Juan Carlos Quintero Romero</w:t>
            </w:r>
          </w:p>
        </w:tc>
      </w:tr>
    </w:tbl>
    <w:p>
      <w:pPr>
        <w:pStyle w:val="Normal"/>
        <w:spacing w:before="0" w:after="0"/>
        <w:rPr/>
      </w:pPr>
      <w:r>
        <w:rPr/>
      </w:r>
    </w:p>
    <w:p>
      <w:pPr>
        <w:pStyle w:val="Heading2"/>
        <w:keepNext w:val="true"/>
        <w:rPr/>
      </w:pPr>
      <w:bookmarkStart w:id="1" w:name="__RefHeading___Toc27158_2471710424"/>
      <w:bookmarkEnd w:id="1"/>
      <w:r>
        <w:rPr/>
        <w:t>Historial de versiones</w:t>
      </w:r>
    </w:p>
    <w:tbl>
      <w:tblPr>
        <w:tblStyle w:val="TableGrid"/>
        <w:tblW w:w="99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2484"/>
        <w:gridCol w:w="2484"/>
        <w:gridCol w:w="2484"/>
        <w:gridCol w:w="2483"/>
      </w:tblGrid>
      <w:tr>
        <w:trPr>
          <w:tblHeader w:val="true"/>
        </w:trPr>
        <w:tc>
          <w:tcPr>
            <w:tcW w:w="2484"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Versión</w:t>
            </w:r>
          </w:p>
        </w:tc>
        <w:tc>
          <w:tcPr>
            <w:tcW w:w="2484"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Fecha</w:t>
            </w:r>
          </w:p>
        </w:tc>
        <w:tc>
          <w:tcPr>
            <w:tcW w:w="2484"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Descripción del cambio</w:t>
            </w:r>
          </w:p>
        </w:tc>
        <w:tc>
          <w:tcPr>
            <w:tcW w:w="2483"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Responsable</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2026/08/19</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Estructura inicial del proyecto y modelo de datos (10 entidades).</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Harryson Cadavid</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0.2</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2026/09/02</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Backend completo de nueve módulos y frontend administrativo.</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Harryson Cadavid / Dayana Pérez</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1.0</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2026/09/07</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Instanciación de la arquitectura documental sobre el estado real del producto.</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Equipo SIGTM</w:t>
            </w:r>
          </w:p>
        </w:tc>
      </w:tr>
    </w:tbl>
    <w:p>
      <w:pPr>
        <w:pStyle w:val="Normal"/>
        <w:spacing w:before="0" w:after="0"/>
        <w:rPr/>
      </w:pPr>
      <w:r>
        <w:rPr/>
      </w:r>
    </w:p>
    <w:p>
      <w:pPr>
        <w:pStyle w:val="Heading2"/>
        <w:keepNext w:val="true"/>
        <w:rPr/>
      </w:pPr>
      <w:bookmarkStart w:id="2" w:name="__RefHeading___Toc27160_2471710424"/>
      <w:bookmarkEnd w:id="2"/>
      <w:r>
        <w:rPr/>
        <w:t>Aprobaciones</w:t>
      </w:r>
    </w:p>
    <w:tbl>
      <w:tblPr>
        <w:tblStyle w:val="TableGrid"/>
        <w:tblW w:w="99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2484"/>
        <w:gridCol w:w="2484"/>
        <w:gridCol w:w="2484"/>
        <w:gridCol w:w="2483"/>
      </w:tblGrid>
      <w:tr>
        <w:trPr>
          <w:tblHeader w:val="true"/>
        </w:trPr>
        <w:tc>
          <w:tcPr>
            <w:tcW w:w="2484"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Rol</w:t>
            </w:r>
          </w:p>
        </w:tc>
        <w:tc>
          <w:tcPr>
            <w:tcW w:w="2484"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Nombre</w:t>
            </w:r>
          </w:p>
        </w:tc>
        <w:tc>
          <w:tcPr>
            <w:tcW w:w="2484"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Firma / aprobación</w:t>
            </w:r>
          </w:p>
        </w:tc>
        <w:tc>
          <w:tcPr>
            <w:tcW w:w="2483"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Fecha</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Elaboró</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Harryson Cadavid</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________________</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__________</w:t>
            </w:r>
          </w:p>
        </w:tc>
      </w:tr>
      <w:tr>
        <w:trPr/>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Revisó</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Dayana Pérez / Jessica</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________________</w:t>
            </w:r>
          </w:p>
        </w:tc>
        <w:tc>
          <w:tcPr>
            <w:tcW w:w="2483"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__________</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Aprobó</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Juan Carlos Quintero Romero</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________________</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__________</w:t>
            </w:r>
          </w:p>
        </w:tc>
      </w:tr>
    </w:tbl>
    <w:p>
      <w:pPr>
        <w:pStyle w:val="Normal"/>
        <w:spacing w:before="0" w:after="0"/>
        <w:rPr/>
      </w:pPr>
      <w:r>
        <w:rPr/>
      </w:r>
      <w:r>
        <w:br w:type="page"/>
      </w:r>
    </w:p>
    <w:p>
      <w:pPr>
        <w:pStyle w:val="Normal"/>
        <w:spacing w:before="0" w:after="0"/>
        <w:rPr/>
      </w:pPr>
      <w:r>
        <w:rPr/>
      </w:r>
    </w:p>
    <w:sdt>
      <w:sdtPr>
        <w:docPartObj>
          <w:docPartGallery w:val="Table of Contents"/>
          <w:docPartUnique w:val="true"/>
        </w:docPartObj>
      </w:sdtPr>
      <w:sdtContent>
        <w:p>
          <w:pPr>
            <w:pStyle w:val="TOCHeading"/>
            <w:rPr/>
          </w:pPr>
          <w:r>
            <w:rPr/>
            <w:t>Table of Contents</w:t>
          </w:r>
        </w:p>
        <w:p>
          <w:pPr>
            <w:pStyle w:val="TOC1"/>
            <w:tabs>
              <w:tab w:val="clear" w:pos="9936"/>
              <w:tab w:val="right" w:pos="9935" w:leader="dot"/>
            </w:tabs>
            <w:rPr/>
          </w:pPr>
          <w:r>
            <w:fldChar w:fldCharType="begin"/>
          </w:r>
          <w:r>
            <w:rPr>
              <w:rStyle w:val="IndexLink"/>
            </w:rPr>
            <w:instrText xml:space="preserve"> TOC \f \o "1-9" \h</w:instrText>
          </w:r>
          <w:r>
            <w:rPr>
              <w:rStyle w:val="IndexLink"/>
            </w:rPr>
            <w:fldChar w:fldCharType="separate"/>
          </w:r>
          <w:hyperlink w:anchor="__RefHeading___Toc27156_2471710424">
            <w:r>
              <w:rPr>
                <w:rStyle w:val="IndexLink"/>
              </w:rPr>
              <w:t>Control del documento</w:t>
              <w:tab/>
              <w:t>2</w:t>
            </w:r>
          </w:hyperlink>
        </w:p>
        <w:p>
          <w:pPr>
            <w:pStyle w:val="TOC2"/>
            <w:tabs>
              <w:tab w:val="clear" w:pos="9653"/>
              <w:tab w:val="right" w:pos="9935" w:leader="dot"/>
            </w:tabs>
            <w:rPr/>
          </w:pPr>
          <w:hyperlink w:anchor="__RefHeading___Toc27158_2471710424">
            <w:r>
              <w:rPr>
                <w:rStyle w:val="IndexLink"/>
              </w:rPr>
              <w:t>Historial de versiones</w:t>
              <w:tab/>
              <w:t>2</w:t>
            </w:r>
          </w:hyperlink>
        </w:p>
        <w:p>
          <w:pPr>
            <w:pStyle w:val="TOC2"/>
            <w:tabs>
              <w:tab w:val="clear" w:pos="9653"/>
              <w:tab w:val="right" w:pos="9935" w:leader="dot"/>
            </w:tabs>
            <w:rPr/>
          </w:pPr>
          <w:hyperlink w:anchor="__RefHeading___Toc27160_2471710424">
            <w:r>
              <w:rPr>
                <w:rStyle w:val="IndexLink"/>
              </w:rPr>
              <w:t>Aprobaciones</w:t>
              <w:tab/>
              <w:t>2</w:t>
            </w:r>
          </w:hyperlink>
        </w:p>
        <w:p>
          <w:pPr>
            <w:pStyle w:val="TOC1"/>
            <w:tabs>
              <w:tab w:val="clear" w:pos="9936"/>
              <w:tab w:val="right" w:pos="9935" w:leader="dot"/>
            </w:tabs>
            <w:rPr/>
          </w:pPr>
          <w:hyperlink w:anchor="__RefHeading___Toc27162_2471710424">
            <w:r>
              <w:rPr>
                <w:rStyle w:val="IndexLink"/>
              </w:rPr>
              <w:t>1. Propósito y alcance</w:t>
              <w:tab/>
              <w:t>5</w:t>
            </w:r>
          </w:hyperlink>
        </w:p>
        <w:p>
          <w:pPr>
            <w:pStyle w:val="TOC2"/>
            <w:tabs>
              <w:tab w:val="clear" w:pos="9653"/>
              <w:tab w:val="right" w:pos="9935" w:leader="dot"/>
            </w:tabs>
            <w:rPr/>
          </w:pPr>
          <w:hyperlink w:anchor="__RefHeading___Toc27164_2471710424">
            <w:r>
              <w:rPr>
                <w:rStyle w:val="IndexLink"/>
              </w:rPr>
              <w:t>1.1 Objetivos específicos</w:t>
              <w:tab/>
              <w:t>5</w:t>
            </w:r>
          </w:hyperlink>
        </w:p>
        <w:p>
          <w:pPr>
            <w:pStyle w:val="TOC1"/>
            <w:tabs>
              <w:tab w:val="clear" w:pos="9936"/>
              <w:tab w:val="right" w:pos="9935" w:leader="dot"/>
            </w:tabs>
            <w:rPr/>
          </w:pPr>
          <w:hyperlink w:anchor="__RefHeading___Toc27166_2471710424">
            <w:r>
              <w:rPr>
                <w:rStyle w:val="IndexLink"/>
              </w:rPr>
              <w:t>2. Antecedentes y diagnóstico</w:t>
              <w:tab/>
              <w:t>5</w:t>
            </w:r>
          </w:hyperlink>
        </w:p>
        <w:p>
          <w:pPr>
            <w:pStyle w:val="TOC2"/>
            <w:tabs>
              <w:tab w:val="clear" w:pos="9653"/>
              <w:tab w:val="right" w:pos="9935" w:leader="dot"/>
            </w:tabs>
            <w:rPr/>
          </w:pPr>
          <w:hyperlink w:anchor="__RefHeading___Toc27168_2471710424">
            <w:r>
              <w:rPr>
                <w:rStyle w:val="IndexLink"/>
              </w:rPr>
              <w:t>2.1 Criterio rector</w:t>
              <w:tab/>
              <w:t>6</w:t>
            </w:r>
          </w:hyperlink>
        </w:p>
        <w:p>
          <w:pPr>
            <w:pStyle w:val="TOC1"/>
            <w:tabs>
              <w:tab w:val="clear" w:pos="9936"/>
              <w:tab w:val="right" w:pos="9935" w:leader="dot"/>
            </w:tabs>
            <w:rPr/>
          </w:pPr>
          <w:hyperlink w:anchor="__RefHeading___Toc27170_2471710424">
            <w:r>
              <w:rPr>
                <w:rStyle w:val="IndexLink"/>
              </w:rPr>
              <w:t>3. Principios de la arquitectura documental</w:t>
              <w:tab/>
              <w:t>6</w:t>
            </w:r>
          </w:hyperlink>
        </w:p>
        <w:p>
          <w:pPr>
            <w:pStyle w:val="TOC1"/>
            <w:tabs>
              <w:tab w:val="clear" w:pos="9936"/>
              <w:tab w:val="right" w:pos="9935" w:leader="dot"/>
            </w:tabs>
            <w:rPr/>
          </w:pPr>
          <w:hyperlink w:anchor="__RefHeading___Toc27172_2471710424">
            <w:r>
              <w:rPr>
                <w:rStyle w:val="IndexLink"/>
              </w:rPr>
              <w:t>4. Modelo documental de tres niveles</w:t>
              <w:tab/>
              <w:t>7</w:t>
            </w:r>
          </w:hyperlink>
        </w:p>
        <w:p>
          <w:pPr>
            <w:pStyle w:val="TOC1"/>
            <w:tabs>
              <w:tab w:val="clear" w:pos="9936"/>
              <w:tab w:val="right" w:pos="9935" w:leader="dot"/>
            </w:tabs>
            <w:rPr/>
          </w:pPr>
          <w:hyperlink w:anchor="__RefHeading___Toc27174_2471710424">
            <w:r>
              <w:rPr>
                <w:rStyle w:val="IndexLink"/>
              </w:rPr>
              <w:t>5. Catálogo oficial de documentos y artefactos</w:t>
              <w:tab/>
              <w:t>7</w:t>
            </w:r>
          </w:hyperlink>
        </w:p>
        <w:p>
          <w:pPr>
            <w:pStyle w:val="TOC1"/>
            <w:tabs>
              <w:tab w:val="clear" w:pos="9936"/>
              <w:tab w:val="right" w:pos="9935" w:leader="dot"/>
            </w:tabs>
            <w:rPr/>
          </w:pPr>
          <w:hyperlink w:anchor="__RefHeading___Toc27176_2471710424">
            <w:r>
              <w:rPr>
                <w:rStyle w:val="IndexLink"/>
              </w:rPr>
              <w:t>6. Estructura de los documentos principales</w:t>
              <w:tab/>
              <w:t>8</w:t>
            </w:r>
          </w:hyperlink>
        </w:p>
        <w:p>
          <w:pPr>
            <w:pStyle w:val="TOC2"/>
            <w:tabs>
              <w:tab w:val="clear" w:pos="9653"/>
              <w:tab w:val="right" w:pos="9935" w:leader="dot"/>
            </w:tabs>
            <w:rPr/>
          </w:pPr>
          <w:hyperlink w:anchor="__RefHeading___Toc27178_2471710424">
            <w:r>
              <w:rPr>
                <w:rStyle w:val="IndexLink"/>
              </w:rPr>
              <w:t>6.1 DOC-01. Formulación y Constitución del Proyecto</w:t>
              <w:tab/>
              <w:t>8</w:t>
            </w:r>
          </w:hyperlink>
        </w:p>
        <w:p>
          <w:pPr>
            <w:pStyle w:val="TOC2"/>
            <w:tabs>
              <w:tab w:val="clear" w:pos="9653"/>
              <w:tab w:val="right" w:pos="9935" w:leader="dot"/>
            </w:tabs>
            <w:rPr/>
          </w:pPr>
          <w:hyperlink w:anchor="__RefHeading___Toc27180_2471710424">
            <w:r>
              <w:rPr>
                <w:rStyle w:val="IndexLink"/>
              </w:rPr>
              <w:t>6.2 DOC-02. Gestión de Interesados y del Proyecto</w:t>
              <w:tab/>
              <w:t>8</w:t>
            </w:r>
          </w:hyperlink>
        </w:p>
        <w:p>
          <w:pPr>
            <w:pStyle w:val="TOC2"/>
            <w:tabs>
              <w:tab w:val="clear" w:pos="9653"/>
              <w:tab w:val="right" w:pos="9935" w:leader="dot"/>
            </w:tabs>
            <w:rPr/>
          </w:pPr>
          <w:hyperlink w:anchor="__RefHeading___Toc27182_2471710424">
            <w:r>
              <w:rPr>
                <w:rStyle w:val="IndexLink"/>
              </w:rPr>
              <w:t>6.3 DOC-03. Alcance y Especificación de Requisitos</w:t>
              <w:tab/>
              <w:t>8</w:t>
            </w:r>
          </w:hyperlink>
        </w:p>
        <w:p>
          <w:pPr>
            <w:pStyle w:val="TOC2"/>
            <w:tabs>
              <w:tab w:val="clear" w:pos="9653"/>
              <w:tab w:val="right" w:pos="9935" w:leader="dot"/>
            </w:tabs>
            <w:rPr/>
          </w:pPr>
          <w:hyperlink w:anchor="__RefHeading___Toc27184_2471710424">
            <w:r>
              <w:rPr>
                <w:rStyle w:val="IndexLink"/>
              </w:rPr>
              <w:t>6.4 DOC-04. Backlog, Historias de Usuario y Casos de Uso</w:t>
              <w:tab/>
              <w:t>9</w:t>
            </w:r>
          </w:hyperlink>
        </w:p>
        <w:p>
          <w:pPr>
            <w:pStyle w:val="TOC2"/>
            <w:tabs>
              <w:tab w:val="clear" w:pos="9653"/>
              <w:tab w:val="right" w:pos="9935" w:leader="dot"/>
            </w:tabs>
            <w:rPr/>
          </w:pPr>
          <w:hyperlink w:anchor="__RefHeading___Toc27186_2471710424">
            <w:r>
              <w:rPr>
                <w:rStyle w:val="IndexLink"/>
              </w:rPr>
              <w:t>6.5 DOC-05. Diseño UX/UI y Sistema de Diseño</w:t>
              <w:tab/>
              <w:t>9</w:t>
            </w:r>
          </w:hyperlink>
        </w:p>
        <w:p>
          <w:pPr>
            <w:pStyle w:val="TOC2"/>
            <w:tabs>
              <w:tab w:val="clear" w:pos="9653"/>
              <w:tab w:val="right" w:pos="9935" w:leader="dot"/>
            </w:tabs>
            <w:rPr/>
          </w:pPr>
          <w:hyperlink w:anchor="__RefHeading___Toc27188_2471710424">
            <w:r>
              <w:rPr>
                <w:rStyle w:val="IndexLink"/>
              </w:rPr>
              <w:t>6.6 DOC-06. Arquitectura, Datos y Diseño Técnico</w:t>
              <w:tab/>
              <w:t>9</w:t>
            </w:r>
          </w:hyperlink>
        </w:p>
        <w:p>
          <w:pPr>
            <w:pStyle w:val="TOC2"/>
            <w:tabs>
              <w:tab w:val="clear" w:pos="9653"/>
              <w:tab w:val="right" w:pos="9935" w:leader="dot"/>
            </w:tabs>
            <w:rPr/>
          </w:pPr>
          <w:hyperlink w:anchor="__RefHeading___Toc27190_2471710424">
            <w:r>
              <w:rPr>
                <w:rStyle w:val="IndexLink"/>
              </w:rPr>
              <w:t>6.7 DOC-07. Plan de Calidad, Pruebas y Aceptación</w:t>
              <w:tab/>
              <w:t>9</w:t>
            </w:r>
          </w:hyperlink>
        </w:p>
        <w:p>
          <w:pPr>
            <w:pStyle w:val="TOC2"/>
            <w:tabs>
              <w:tab w:val="clear" w:pos="9653"/>
              <w:tab w:val="right" w:pos="9935" w:leader="dot"/>
            </w:tabs>
            <w:rPr/>
          </w:pPr>
          <w:hyperlink w:anchor="__RefHeading___Toc27192_2471710424">
            <w:r>
              <w:rPr>
                <w:rStyle w:val="IndexLink"/>
              </w:rPr>
              <w:t>6.8 DOC-08. Manual Técnico y de Operación</w:t>
              <w:tab/>
              <w:t>9</w:t>
            </w:r>
          </w:hyperlink>
        </w:p>
        <w:p>
          <w:pPr>
            <w:pStyle w:val="TOC2"/>
            <w:tabs>
              <w:tab w:val="clear" w:pos="9653"/>
              <w:tab w:val="right" w:pos="9935" w:leader="dot"/>
            </w:tabs>
            <w:rPr/>
          </w:pPr>
          <w:hyperlink w:anchor="__RefHeading___Toc27194_2471710424">
            <w:r>
              <w:rPr>
                <w:rStyle w:val="IndexLink"/>
              </w:rPr>
              <w:t>6.9 DOC-09. Manual de Usuario</w:t>
              <w:tab/>
              <w:t>10</w:t>
            </w:r>
          </w:hyperlink>
        </w:p>
        <w:p>
          <w:pPr>
            <w:pStyle w:val="TOC2"/>
            <w:tabs>
              <w:tab w:val="clear" w:pos="9653"/>
              <w:tab w:val="right" w:pos="9935" w:leader="dot"/>
            </w:tabs>
            <w:rPr/>
          </w:pPr>
          <w:hyperlink w:anchor="__RefHeading___Toc27196_2471710424">
            <w:r>
              <w:rPr>
                <w:rStyle w:val="IndexLink"/>
              </w:rPr>
              <w:t>6.10 DOC-10. Informe de Cierre y Entrega</w:t>
              <w:tab/>
              <w:t>10</w:t>
            </w:r>
          </w:hyperlink>
        </w:p>
        <w:p>
          <w:pPr>
            <w:pStyle w:val="TOC1"/>
            <w:tabs>
              <w:tab w:val="clear" w:pos="9936"/>
              <w:tab w:val="right" w:pos="9935" w:leader="dot"/>
            </w:tabs>
            <w:rPr/>
          </w:pPr>
          <w:hyperlink w:anchor="__RefHeading___Toc27198_2471710424">
            <w:r>
              <w:rPr>
                <w:rStyle w:val="IndexLink"/>
              </w:rPr>
              <w:t>7. Artefactos vivos del repositorio</w:t>
              <w:tab/>
              <w:t>11</w:t>
            </w:r>
          </w:hyperlink>
        </w:p>
        <w:p>
          <w:pPr>
            <w:pStyle w:val="TOC1"/>
            <w:tabs>
              <w:tab w:val="clear" w:pos="9936"/>
              <w:tab w:val="right" w:pos="9935" w:leader="dot"/>
            </w:tabs>
            <w:rPr/>
          </w:pPr>
          <w:hyperlink w:anchor="__RefHeading___Toc27200_2471710424">
            <w:r>
              <w:rPr>
                <w:rStyle w:val="IndexLink"/>
              </w:rPr>
              <w:t>8. Trazabilidad integral</w:t>
              <w:tab/>
              <w:t>11</w:t>
            </w:r>
          </w:hyperlink>
        </w:p>
        <w:p>
          <w:pPr>
            <w:pStyle w:val="TOC2"/>
            <w:tabs>
              <w:tab w:val="clear" w:pos="9653"/>
              <w:tab w:val="right" w:pos="9935" w:leader="dot"/>
            </w:tabs>
            <w:rPr/>
          </w:pPr>
          <w:hyperlink w:anchor="__RefHeading___Toc27202_2471710424">
            <w:r>
              <w:rPr>
                <w:rStyle w:val="IndexLink"/>
              </w:rPr>
              <w:t>8.1 Reglas de trazabilidad</w:t>
              <w:tab/>
              <w:t>12</w:t>
            </w:r>
          </w:hyperlink>
        </w:p>
        <w:p>
          <w:pPr>
            <w:pStyle w:val="TOC1"/>
            <w:tabs>
              <w:tab w:val="clear" w:pos="9936"/>
              <w:tab w:val="right" w:pos="9935" w:leader="dot"/>
            </w:tabs>
            <w:rPr/>
          </w:pPr>
          <w:hyperlink w:anchor="__RefHeading___Toc27204_2471710424">
            <w:r>
              <w:rPr>
                <w:rStyle w:val="IndexLink"/>
              </w:rPr>
              <w:t>9. Gobierno y control documental</w:t>
              <w:tab/>
              <w:t>12</w:t>
            </w:r>
          </w:hyperlink>
        </w:p>
        <w:p>
          <w:pPr>
            <w:pStyle w:val="TOC2"/>
            <w:tabs>
              <w:tab w:val="clear" w:pos="9653"/>
              <w:tab w:val="right" w:pos="9935" w:leader="dot"/>
            </w:tabs>
            <w:rPr/>
          </w:pPr>
          <w:hyperlink w:anchor="__RefHeading___Toc27206_2471710424">
            <w:r>
              <w:rPr>
                <w:rStyle w:val="IndexLink"/>
              </w:rPr>
              <w:t>9.1 Estructura común obligatoria</w:t>
              <w:tab/>
              <w:t>13</w:t>
            </w:r>
          </w:hyperlink>
        </w:p>
        <w:p>
          <w:pPr>
            <w:pStyle w:val="TOC1"/>
            <w:tabs>
              <w:tab w:val="clear" w:pos="9936"/>
              <w:tab w:val="right" w:pos="9935" w:leader="dot"/>
            </w:tabs>
            <w:rPr/>
          </w:pPr>
          <w:hyperlink w:anchor="__RefHeading___Toc27208_2471710424">
            <w:r>
              <w:rPr>
                <w:rStyle w:val="IndexLink"/>
              </w:rPr>
              <w:t>10. Ciclo de vida de la documentación</w:t>
              <w:tab/>
              <w:t>13</w:t>
            </w:r>
          </w:hyperlink>
        </w:p>
        <w:p>
          <w:pPr>
            <w:pStyle w:val="TOC1"/>
            <w:tabs>
              <w:tab w:val="clear" w:pos="9936"/>
              <w:tab w:val="right" w:pos="9935" w:leader="dot"/>
            </w:tabs>
            <w:rPr/>
          </w:pPr>
          <w:hyperlink w:anchor="__RefHeading___Toc27210_2471710424">
            <w:r>
              <w:rPr>
                <w:rStyle w:val="IndexLink"/>
              </w:rPr>
              <w:t>11. Roles y responsabilidades</w:t>
              <w:tab/>
              <w:t>13</w:t>
            </w:r>
          </w:hyperlink>
        </w:p>
        <w:p>
          <w:pPr>
            <w:pStyle w:val="TOC1"/>
            <w:tabs>
              <w:tab w:val="clear" w:pos="9936"/>
              <w:tab w:val="right" w:pos="9935" w:leader="dot"/>
            </w:tabs>
            <w:rPr/>
          </w:pPr>
          <w:hyperlink w:anchor="__RefHeading___Toc27212_2471710424">
            <w:r>
              <w:rPr>
                <w:rStyle w:val="IndexLink"/>
              </w:rPr>
              <w:t>12. Reglas de consistencia y no duplicación</w:t>
              <w:tab/>
              <w:t>14</w:t>
            </w:r>
          </w:hyperlink>
        </w:p>
        <w:p>
          <w:pPr>
            <w:pStyle w:val="TOC1"/>
            <w:tabs>
              <w:tab w:val="clear" w:pos="9936"/>
              <w:tab w:val="right" w:pos="9935" w:leader="dot"/>
            </w:tabs>
            <w:rPr/>
          </w:pPr>
          <w:hyperlink w:anchor="__RefHeading___Toc27214_2471710424">
            <w:r>
              <w:rPr>
                <w:rStyle w:val="IndexLink"/>
              </w:rPr>
              <w:t>13. Aplicación por tipo y madurez del proyecto</w:t>
              <w:tab/>
              <w:t>15</w:t>
            </w:r>
          </w:hyperlink>
        </w:p>
        <w:p>
          <w:pPr>
            <w:pStyle w:val="TOC2"/>
            <w:tabs>
              <w:tab w:val="clear" w:pos="9653"/>
              <w:tab w:val="right" w:pos="9935" w:leader="dot"/>
            </w:tabs>
            <w:rPr/>
          </w:pPr>
          <w:hyperlink w:anchor="__RefHeading___Toc27216_2471710424">
            <w:r>
              <w:rPr>
                <w:rStyle w:val="IndexLink"/>
              </w:rPr>
              <w:t>13.1 Niveles de madurez</w:t>
              <w:tab/>
              <w:t>15</w:t>
            </w:r>
          </w:hyperlink>
        </w:p>
        <w:p>
          <w:pPr>
            <w:pStyle w:val="TOC1"/>
            <w:tabs>
              <w:tab w:val="clear" w:pos="9936"/>
              <w:tab w:val="right" w:pos="9935" w:leader="dot"/>
            </w:tabs>
            <w:rPr/>
          </w:pPr>
          <w:hyperlink w:anchor="__RefHeading___Toc27218_2471710424">
            <w:r>
              <w:rPr>
                <w:rStyle w:val="IndexLink"/>
              </w:rPr>
              <w:t>14. Ruta de implementación</w:t>
              <w:tab/>
              <w:t>15</w:t>
            </w:r>
          </w:hyperlink>
        </w:p>
        <w:p>
          <w:pPr>
            <w:pStyle w:val="TOC2"/>
            <w:tabs>
              <w:tab w:val="clear" w:pos="9653"/>
              <w:tab w:val="right" w:pos="9935" w:leader="dot"/>
            </w:tabs>
            <w:rPr/>
          </w:pPr>
          <w:hyperlink w:anchor="__RefHeading___Toc27220_2471710424">
            <w:r>
              <w:rPr>
                <w:rStyle w:val="IndexLink"/>
              </w:rPr>
              <w:t>14.1 Orden recomendado de elaboración</w:t>
              <w:tab/>
              <w:t>16</w:t>
            </w:r>
          </w:hyperlink>
        </w:p>
        <w:p>
          <w:pPr>
            <w:pStyle w:val="TOC1"/>
            <w:tabs>
              <w:tab w:val="clear" w:pos="9936"/>
              <w:tab w:val="right" w:pos="9935" w:leader="dot"/>
            </w:tabs>
            <w:rPr/>
          </w:pPr>
          <w:hyperlink w:anchor="__RefHeading___Toc27222_2471710424">
            <w:r>
              <w:rPr>
                <w:rStyle w:val="IndexLink"/>
              </w:rPr>
              <w:t>15. Criterios de adopción y verificación</w:t>
              <w:tab/>
              <w:t>16</w:t>
            </w:r>
          </w:hyperlink>
        </w:p>
        <w:p>
          <w:pPr>
            <w:pStyle w:val="TOC1"/>
            <w:tabs>
              <w:tab w:val="clear" w:pos="9936"/>
              <w:tab w:val="right" w:pos="9935" w:leader="dot"/>
            </w:tabs>
            <w:rPr/>
          </w:pPr>
          <w:hyperlink w:anchor="__RefHeading___Toc27224_2471710424">
            <w:r>
              <w:rPr>
                <w:rStyle w:val="IndexLink"/>
              </w:rPr>
              <w:t>Anexo A. Convenciones de identificación</w:t>
              <w:tab/>
              <w:t>17</w:t>
            </w:r>
          </w:hyperlink>
        </w:p>
        <w:p>
          <w:pPr>
            <w:pStyle w:val="TOC1"/>
            <w:tabs>
              <w:tab w:val="clear" w:pos="9936"/>
              <w:tab w:val="right" w:pos="9935" w:leader="dot"/>
            </w:tabs>
            <w:rPr/>
          </w:pPr>
          <w:hyperlink w:anchor="__RefHeading___Toc27226_2471710424">
            <w:r>
              <w:rPr>
                <w:rStyle w:val="IndexLink"/>
              </w:rPr>
              <w:t>Anexo B. Mapa de correspondencia con los documentos actuales</w:t>
              <w:tab/>
              <w:t>18</w:t>
            </w:r>
          </w:hyperlink>
        </w:p>
        <w:p>
          <w:pPr>
            <w:pStyle w:val="TOC2"/>
            <w:tabs>
              <w:tab w:val="clear" w:pos="9653"/>
              <w:tab w:val="right" w:pos="9935" w:leader="dot"/>
            </w:tabs>
            <w:rPr/>
          </w:pPr>
          <w:hyperlink w:anchor="__RefHeading___Toc27228_2471710424">
            <w:r>
              <w:rPr>
                <w:rStyle w:val="IndexLink"/>
              </w:rPr>
              <w:t>Fuentes analizadas</w:t>
              <w:tab/>
              <w:t>18</w:t>
            </w:r>
          </w:hyperlink>
          <w:r>
            <w:rPr>
              <w:rStyle w:val="IndexLink"/>
            </w:rPr>
            <w:fldChar w:fldCharType="end"/>
          </w:r>
        </w:p>
      </w:sdtContent>
    </w:sdt>
    <w:p>
      <w:pPr>
        <w:pStyle w:val="Heading1"/>
        <w:keepNext w:val="true"/>
        <w:pBdr>
          <w:bottom w:val="single" w:sz="18" w:space="1" w:color="39A900"/>
        </w:pBdr>
        <w:rPr/>
      </w:pPr>
      <w:r>
        <w:rPr/>
      </w:r>
      <w:r>
        <w:br w:type="page"/>
      </w:r>
    </w:p>
    <w:p>
      <w:pPr>
        <w:pStyle w:val="Normal"/>
        <w:pBdr>
          <w:bottom w:val="single" w:sz="18" w:space="1" w:color="39A900"/>
        </w:pBdr>
        <w:rPr/>
      </w:pPr>
      <w:r>
        <w:rPr/>
      </w:r>
    </w:p>
    <w:p>
      <w:pPr>
        <w:pStyle w:val="Heading1"/>
        <w:keepNext w:val="true"/>
        <w:pBdr>
          <w:bottom w:val="single" w:sz="18" w:space="1" w:color="39A900"/>
        </w:pBdr>
        <w:spacing w:before="0" w:after="100"/>
        <w:rPr/>
      </w:pPr>
      <w:bookmarkStart w:id="3" w:name="__RefHeading___Toc27162_2471710424"/>
      <w:bookmarkEnd w:id="3"/>
      <w:r>
        <w:rPr/>
        <w:t>1. Propósito y alcance</w:t>
      </w:r>
    </w:p>
    <w:p>
      <w:pPr>
        <w:pStyle w:val="Normal"/>
        <w:rPr/>
      </w:pPr>
      <w:r>
        <w:rPr/>
        <w:t>Este documento aplica la arquitectura documental institucional (ADSO-AD-001) al proyecto SIGTM, un sistema web de gestión para talleres de motocicletas. Establece qué documentos produce el proyecto, quién los mantiene, en qué estado se encuentran y cómo se relacionan con el código realmente construido. Su finalidad no es describir la norma, sino demostrar que el equipo controla la correspondencia entre lo documentado y lo implementado.</w:t>
      </w:r>
    </w:p>
    <w:tbl>
      <w:tblPr>
        <w:tblW w:w="9936" w:type="dxa"/>
        <w:jc w:val="center"/>
        <w:tblInd w:w="0" w:type="dxa"/>
        <w:tblLayout w:type="fixed"/>
        <w:tblCellMar>
          <w:top w:w="140" w:type="dxa"/>
          <w:left w:w="180" w:type="dxa"/>
          <w:bottom w:w="140" w:type="dxa"/>
          <w:right w:w="180" w:type="dxa"/>
        </w:tblCellMar>
        <w:tblLook w:val="04a0" w:noHBand="0" w:noVBand="1" w:firstColumn="1" w:lastRow="0" w:lastColumn="0" w:firstRow="1"/>
      </w:tblPr>
      <w:tblGrid>
        <w:gridCol w:w="9936"/>
      </w:tblGrid>
      <w:tr>
        <w:trPr/>
        <w:tc>
          <w:tcPr>
            <w:tcW w:w="9936" w:type="dxa"/>
            <w:tcBorders/>
            <w:shd w:fill="EAF4E4"/>
          </w:tcPr>
          <w:p>
            <w:pPr>
              <w:pStyle w:val="Normal"/>
              <w:widowControl/>
              <w:bidi w:val="0"/>
              <w:spacing w:lineRule="auto" w:line="268" w:before="0" w:after="120"/>
              <w:jc w:val="left"/>
              <w:rPr/>
            </w:pPr>
            <w:r>
              <w:rPr>
                <w:b/>
                <w:color w:val="2D58C8"/>
              </w:rPr>
              <w:t>Propósito central: Que cualquier evaluador pueda tomar un requisito de SIGTM, seguirlo hasta la línea de código que lo implementa, la prueba que lo verifica y la evidencia que lo acepta — sin preguntarle nada al equipo.</w:t>
            </w:r>
            <w:r>
              <w:rPr/>
            </w:r>
          </w:p>
        </w:tc>
      </w:tr>
    </w:tbl>
    <w:p>
      <w:pPr>
        <w:pStyle w:val="Normal"/>
        <w:spacing w:before="0" w:after="0"/>
        <w:rPr/>
      </w:pPr>
      <w:r>
        <w:rPr/>
      </w:r>
    </w:p>
    <w:p>
      <w:pPr>
        <w:pStyle w:val="Normal"/>
        <w:rPr/>
      </w:pPr>
      <w:r>
        <w:rPr/>
        <w:t>Aplica a la totalidad del producto SIGTM: backend REST en Node.js con Express y Prisma sobre PostgreSQL, frontend en React con Vite y Tailwind, y los artefactos vivos del repositorio (migraciones, datos semilla, configuración y evidencias de colaboración). El proyecto es de tipo aplicación web con cuatro perfiles de usuario y un portal externo para el cliente del taller, por lo que se exigen los controles de autoría, autorización, trazabilidad y ejecutabilidad sin graduación.</w:t>
      </w:r>
    </w:p>
    <w:p>
      <w:pPr>
        <w:pStyle w:val="Heading2"/>
        <w:keepNext w:val="true"/>
        <w:rPr/>
      </w:pPr>
      <w:bookmarkStart w:id="4" w:name="__RefHeading___Toc27164_2471710424"/>
      <w:bookmarkEnd w:id="4"/>
      <w:r>
        <w:rPr/>
        <w:t>1.1 Objetivos específicos</w:t>
      </w:r>
    </w:p>
    <w:p>
      <w:pPr>
        <w:pStyle w:val="ListBullet"/>
        <w:numPr>
          <w:ilvl w:val="0"/>
          <w:numId w:val="1"/>
        </w:numPr>
        <w:rPr/>
      </w:pPr>
      <w:r>
        <w:rPr/>
        <w:t>Definir qué información pertenece a cada documento y cuál debe mantenerse en el repositorio.</w:t>
      </w:r>
    </w:p>
    <w:p>
      <w:pPr>
        <w:pStyle w:val="ListBullet"/>
        <w:numPr>
          <w:ilvl w:val="0"/>
          <w:numId w:val="1"/>
        </w:numPr>
        <w:rPr/>
      </w:pPr>
      <w:r>
        <w:rPr/>
        <w:t>Reducir duplicaciones y contradicciones entre alcance, requisitos, historias, casos de uso, diseño, arquitectura y pruebas.</w:t>
      </w:r>
    </w:p>
    <w:p>
      <w:pPr>
        <w:pStyle w:val="ListBullet"/>
        <w:numPr>
          <w:ilvl w:val="0"/>
          <w:numId w:val="1"/>
        </w:numPr>
        <w:rPr/>
      </w:pPr>
      <w:r>
        <w:rPr/>
        <w:t>Establecer una cadena de trazabilidad desde el problema hasta la evidencia de aceptación.</w:t>
      </w:r>
    </w:p>
    <w:p>
      <w:pPr>
        <w:pStyle w:val="ListBullet"/>
        <w:numPr>
          <w:ilvl w:val="0"/>
          <w:numId w:val="1"/>
        </w:numPr>
        <w:rPr/>
      </w:pPr>
      <w:r>
        <w:rPr/>
        <w:t>Integrar los estándares mínimos de calidad con la documentación propia de cada proyecto.</w:t>
      </w:r>
    </w:p>
    <w:p>
      <w:pPr>
        <w:pStyle w:val="ListBullet"/>
        <w:numPr>
          <w:ilvl w:val="0"/>
          <w:numId w:val="1"/>
        </w:numPr>
        <w:rPr/>
      </w:pPr>
      <w:r>
        <w:rPr/>
        <w:t>Facilitar la evaluación objetiva mediante evidencias y criterios verificables.</w:t>
      </w:r>
    </w:p>
    <w:p>
      <w:pPr>
        <w:pStyle w:val="ListBullet"/>
        <w:numPr>
          <w:ilvl w:val="0"/>
          <w:numId w:val="1"/>
        </w:numPr>
        <w:rPr/>
      </w:pPr>
      <w:r>
        <w:rPr/>
        <w:t>Mantener la documentación alineada con la versión real del producto.</w:t>
      </w:r>
    </w:p>
    <w:p>
      <w:pPr>
        <w:pStyle w:val="Heading1"/>
        <w:keepNext w:val="true"/>
        <w:pBdr>
          <w:bottom w:val="single" w:sz="18" w:space="1" w:color="39A900"/>
        </w:pBdr>
        <w:rPr/>
      </w:pPr>
      <w:bookmarkStart w:id="5" w:name="__RefHeading___Toc27166_2471710424"/>
      <w:bookmarkEnd w:id="5"/>
      <w:r>
        <w:rPr/>
        <w:t>2. Antecedentes y diagnóstico</w:t>
      </w:r>
    </w:p>
    <w:p>
      <w:pPr>
        <w:pStyle w:val="Normal"/>
        <w:rPr/>
      </w:pPr>
      <w:r>
        <w:rPr/>
        <w:t>El 4 de septiembre de 2026 se practicó una revisión técnica completa sobre el repositorio SGITM (6.978 líneas, 9 módulos de backend y 16 pantallas de frontend). La revisión confirmó una arquitectura por capas consistente —rutas, validadores, controladores, servicios, repositorios y Prisma— y una máquina de estados de la orden de trabajo bien situada en la capa de servicio. También identificó dieciséis hallazgos, tres de ellos críticos, que se documentan aquí porque constituyen el diagnóstico real del proyecto y no un ejercicio teórico.</w:t>
      </w:r>
    </w:p>
    <w:tbl>
      <w:tblPr>
        <w:tblStyle w:val="TableGrid"/>
        <w:tblW w:w="99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3312"/>
        <w:gridCol w:w="3312"/>
        <w:gridCol w:w="3312"/>
      </w:tblGrid>
      <w:tr>
        <w:trPr>
          <w:tblHeader w:val="true"/>
        </w:trPr>
        <w:tc>
          <w:tcPr>
            <w:tcW w:w="3312"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Situación identificada</w:t>
            </w:r>
          </w:p>
        </w:tc>
        <w:tc>
          <w:tcPr>
            <w:tcW w:w="3312"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Efecto</w:t>
            </w:r>
          </w:p>
        </w:tc>
        <w:tc>
          <w:tcPr>
            <w:tcW w:w="3312"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Decisión de arquitectura</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El endpoint público de registro tomaba el campo "rol" del cuerpo de la petición sin validarlo.</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Escalada de privilegios: una sola petición podía crear un ADMINISTRADOR sin autenticación.</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El rol se fuerza a CLIENTE en el servicio y se rechaza cualquier otro valor en el validador. Las cuentas de personal se crean desde el módulo de usuarios autenticado (RN-01).</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Ocho rutas exigían sesión válida pero no verificaban la propiedad del recurso.</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Un cliente autenticado podía leer órdenes, teléfono, dirección y facturas de otro cliente cambiando el UUID de la URL.</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Middleware soloPropioSiCliente con resolutores por recurso, aplicado en órdenes, clientes, motocicletas y citas (RN-02).</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El seguimiento público por código/QR devolvía el expediente completo de la orden.</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Exposición de datos personales y económicos sin autenticación alguna.</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Proyección pública reducida en el repositorio: estado, avance y datos de la motocicleta. Sin nombres, correos, cotización ni factura (RN-03).</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No existía usuario semilla ni validación de variables de entorno al arranque.</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Una base recién migrada era inaccesible, y la ausencia de FRONTEND_URL abría el CORS a cualquier origen.</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prisma/seed.js idempotente y src/config/env.js con arranque en fallo rápido si falta configuración obligatoria.</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El cambio de estado de una orden no registraba quién lo ejecutaba.</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La trazabilidad se limitaba al estado actual, sin historia ni responsable.</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Entidad HistorialEstadoOrden escrita en la misma transacción que el cambio de estado (RN-04).</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El código público de seguimiento existía en el backend sin ninguna pantalla que lo consumiera.</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Funcionalidad construida a medias e inutilizable para el cliente.</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Página pública /seguimiento/:codigo con línea de tiempo de cinco pasos legibles (UI-14, CMP-05).</w:t>
            </w:r>
          </w:p>
        </w:tc>
      </w:tr>
    </w:tbl>
    <w:p>
      <w:pPr>
        <w:pStyle w:val="Normal"/>
        <w:spacing w:before="0" w:after="0"/>
        <w:rPr/>
      </w:pPr>
      <w:r>
        <w:rPr/>
      </w:r>
    </w:p>
    <w:p>
      <w:pPr>
        <w:pStyle w:val="Heading2"/>
        <w:keepNext w:val="true"/>
        <w:rPr/>
      </w:pPr>
      <w:bookmarkStart w:id="6" w:name="__RefHeading___Toc27168_2471710424"/>
      <w:bookmarkEnd w:id="6"/>
      <w:r>
        <w:rPr/>
        <w:t>2.1 Criterio rector</w:t>
      </w:r>
    </w:p>
    <w:p>
      <w:pPr>
        <w:pStyle w:val="Normal"/>
        <w:rPr/>
      </w:pPr>
      <w:r>
        <w:rPr/>
        <w:t>La documentación de SIGTM no se mide por su extensión sino por su correspondencia con el producto. Cada afirmación de este documento es verificable contra un archivo del repositorio, un endpoint ejecutable o una captura de evidencia.</w:t>
      </w:r>
    </w:p>
    <w:p>
      <w:pPr>
        <w:pStyle w:val="Heading1"/>
        <w:keepNext w:val="true"/>
        <w:pBdr>
          <w:bottom w:val="single" w:sz="18" w:space="1" w:color="39A900"/>
        </w:pBdr>
        <w:rPr/>
      </w:pPr>
      <w:bookmarkStart w:id="7" w:name="__RefHeading___Toc27170_2471710424"/>
      <w:bookmarkEnd w:id="7"/>
      <w:r>
        <w:rPr/>
        <w:t>3. Principios de la arquitectura documental</w:t>
      </w:r>
    </w:p>
    <w:p>
      <w:pPr>
        <w:pStyle w:val="Normal"/>
        <w:rPr/>
      </w:pPr>
      <w:r>
        <w:rPr>
          <w:b/>
          <w:color w:val="2D58C8"/>
        </w:rPr>
        <w:t xml:space="preserve">Fuente única de verdad. </w:t>
      </w:r>
      <w:r>
        <w:rPr/>
        <w:t>Cada dato relevante tendrá un artefacto principal. Los demás documentos lo referencian y no lo reescriben innecesariamente.</w:t>
      </w:r>
    </w:p>
    <w:p>
      <w:pPr>
        <w:pStyle w:val="Normal"/>
        <w:rPr/>
      </w:pPr>
      <w:r>
        <w:rPr>
          <w:b/>
          <w:color w:val="2D58C8"/>
        </w:rPr>
        <w:t xml:space="preserve">Trazabilidad. </w:t>
      </w:r>
      <w:r>
        <w:rPr/>
        <w:t>Toda necesidad aprobada debe relacionarse con requisitos, diseño, implementación, pruebas y evidencia.</w:t>
      </w:r>
    </w:p>
    <w:p>
      <w:pPr>
        <w:pStyle w:val="Normal"/>
        <w:rPr/>
      </w:pPr>
      <w:r>
        <w:rPr>
          <w:b/>
          <w:color w:val="2D58C8"/>
        </w:rPr>
        <w:t xml:space="preserve">Verificabilidad. </w:t>
      </w:r>
      <w:r>
        <w:rPr/>
        <w:t>Las afirmaciones de calidad deben expresarse mediante métricas, condiciones o evidencias observables.</w:t>
      </w:r>
    </w:p>
    <w:p>
      <w:pPr>
        <w:pStyle w:val="Normal"/>
        <w:rPr/>
      </w:pPr>
      <w:r>
        <w:rPr>
          <w:b/>
          <w:color w:val="2D58C8"/>
        </w:rPr>
        <w:t xml:space="preserve">Actualización continua. </w:t>
      </w:r>
      <w:r>
        <w:rPr/>
        <w:t>La documentación evoluciona con el producto y forma parte de la definición de terminado.</w:t>
      </w:r>
    </w:p>
    <w:p>
      <w:pPr>
        <w:pStyle w:val="Normal"/>
        <w:rPr/>
      </w:pPr>
      <w:r>
        <w:rPr>
          <w:b/>
          <w:color w:val="2D58C8"/>
        </w:rPr>
        <w:t xml:space="preserve">Adecuación al contexto. </w:t>
      </w:r>
      <w:r>
        <w:rPr/>
        <w:t>Los artefactos condicionados se exigen cuando son pertinentes y su no aplicación debe justificarse.</w:t>
      </w:r>
    </w:p>
    <w:p>
      <w:pPr>
        <w:pStyle w:val="Normal"/>
        <w:rPr/>
      </w:pPr>
      <w:r>
        <w:rPr>
          <w:b/>
          <w:color w:val="2D58C8"/>
        </w:rPr>
        <w:t xml:space="preserve">Documentación cercana al código. </w:t>
      </w:r>
      <w:r>
        <w:rPr/>
        <w:t>Los contratos, migraciones, pruebas, pipelines y configuraciones permanecen versionados en el repositorio.</w:t>
      </w:r>
    </w:p>
    <w:p>
      <w:pPr>
        <w:pStyle w:val="Normal"/>
        <w:rPr/>
      </w:pPr>
      <w:r>
        <w:rPr>
          <w:b/>
          <w:color w:val="2D58C8"/>
        </w:rPr>
        <w:t xml:space="preserve">No sobre-documentación. </w:t>
      </w:r>
      <w:r>
        <w:rPr/>
        <w:t>No se crean documentos independientes cuando una sección o un artefacto técnico resulta suficiente.</w:t>
      </w:r>
    </w:p>
    <w:p>
      <w:pPr>
        <w:pStyle w:val="Normal"/>
        <w:rPr/>
      </w:pPr>
      <w:r>
        <w:rPr>
          <w:b/>
          <w:color w:val="2D58C8"/>
        </w:rPr>
        <w:t xml:space="preserve">Autoría y comprensión. </w:t>
      </w:r>
      <w:r>
        <w:rPr/>
        <w:t>Todo contenido, incluido el asistido por IA, debe poder ser explicado, probado y mantenido por el equipo.</w:t>
      </w:r>
    </w:p>
    <w:p>
      <w:pPr>
        <w:pStyle w:val="Normal"/>
        <w:rPr/>
      </w:pPr>
      <w:r>
        <w:rPr/>
      </w:r>
      <w:r>
        <w:br w:type="page"/>
      </w:r>
    </w:p>
    <w:p>
      <w:pPr>
        <w:pStyle w:val="Heading1"/>
        <w:keepNext w:val="true"/>
        <w:pBdr>
          <w:bottom w:val="single" w:sz="18" w:space="1" w:color="39A900"/>
        </w:pBdr>
        <w:spacing w:before="0" w:after="100"/>
        <w:rPr/>
      </w:pPr>
      <w:bookmarkStart w:id="8" w:name="__RefHeading___Toc27172_2471710424"/>
      <w:bookmarkEnd w:id="8"/>
      <w:r>
        <w:rPr/>
        <w:t>4. Modelo documental de tres niveles</w:t>
      </w:r>
    </w:p>
    <w:p>
      <w:pPr>
        <w:pStyle w:val="Normal"/>
        <w:rPr/>
      </w:pPr>
      <w:r>
        <w:rPr/>
        <w:t>SIGTM se sitúa en el Nivel 2 de esta arquitectura. El Nivel 1 lo aporta el centro de formación y no se reproduce aquí; el Nivel 3 vive en el repositorio del proyecto y este documento lo referencia por ubicación, responsable y versión.</w:t>
      </w:r>
    </w:p>
    <w:tbl>
      <w:tblPr>
        <w:tblStyle w:val="TableGrid"/>
        <w:tblW w:w="99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2484"/>
        <w:gridCol w:w="2484"/>
        <w:gridCol w:w="2484"/>
        <w:gridCol w:w="2483"/>
      </w:tblGrid>
      <w:tr>
        <w:trPr>
          <w:tblHeader w:val="true"/>
        </w:trPr>
        <w:tc>
          <w:tcPr>
            <w:tcW w:w="2484"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Nivel</w:t>
            </w:r>
          </w:p>
        </w:tc>
        <w:tc>
          <w:tcPr>
            <w:tcW w:w="2484"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Finalidad</w:t>
            </w:r>
          </w:p>
        </w:tc>
        <w:tc>
          <w:tcPr>
            <w:tcW w:w="2484"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Responsable principal</w:t>
            </w:r>
          </w:p>
        </w:tc>
        <w:tc>
          <w:tcPr>
            <w:tcW w:w="2483"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Ejemplos en SIGTM</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Nivel 1. Marco institucional</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Define exigencias, criterios y reglas de evaluación del programa ADSO.</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Instructor Juan Carlos Quintero Romero.</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ADSO-AD-001, rúbrica integral, índice maestro de entregables.</w:t>
            </w:r>
          </w:p>
        </w:tc>
      </w:tr>
      <w:tr>
        <w:trPr/>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Nivel 2. Documentación del proyecto</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Describe el problema, alcance, decisiones, diseño, pruebas y operación de SIGTM.</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Equipo SIGTM (Harryson, Dayana, Jessica).</w:t>
            </w:r>
          </w:p>
        </w:tc>
        <w:tc>
          <w:tcPr>
            <w:tcW w:w="2483"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SIGTM-AD-001 (este documento), DOC-01 a DOC-10.</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Nivel 3. Evidencias vivas</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Demuestra implementación, colaboración y reproducibilidad.</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Equipo de desarrollo.</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github.com/repelindayeha-star/SGITM, prisma/migrations, prisma/seed.js, .env.example, historial de commits.</w:t>
            </w:r>
          </w:p>
        </w:tc>
      </w:tr>
    </w:tbl>
    <w:p>
      <w:pPr>
        <w:pStyle w:val="Normal"/>
        <w:spacing w:before="0" w:after="0"/>
        <w:rPr/>
      </w:pPr>
      <w:r>
        <w:rPr/>
      </w:r>
    </w:p>
    <w:tbl>
      <w:tblPr>
        <w:tblW w:w="9936" w:type="dxa"/>
        <w:jc w:val="center"/>
        <w:tblInd w:w="0" w:type="dxa"/>
        <w:tblLayout w:type="fixed"/>
        <w:tblCellMar>
          <w:top w:w="140" w:type="dxa"/>
          <w:left w:w="180" w:type="dxa"/>
          <w:bottom w:w="140" w:type="dxa"/>
          <w:right w:w="180" w:type="dxa"/>
        </w:tblCellMar>
        <w:tblLook w:val="04a0" w:noHBand="0" w:noVBand="1" w:firstColumn="1" w:lastRow="0" w:lastColumn="0" w:firstRow="1"/>
      </w:tblPr>
      <w:tblGrid>
        <w:gridCol w:w="9936"/>
      </w:tblGrid>
      <w:tr>
        <w:trPr/>
        <w:tc>
          <w:tcPr>
            <w:tcW w:w="9936" w:type="dxa"/>
            <w:tcBorders/>
            <w:shd w:fill="E8F0FE"/>
          </w:tcPr>
          <w:p>
            <w:pPr>
              <w:pStyle w:val="Normal"/>
              <w:widowControl/>
              <w:bidi w:val="0"/>
              <w:spacing w:lineRule="auto" w:line="268" w:before="0" w:after="120"/>
              <w:jc w:val="left"/>
              <w:rPr/>
            </w:pPr>
            <w:r>
              <w:rPr>
                <w:b/>
                <w:color w:val="2D58C8"/>
              </w:rPr>
              <w:t>Regla de uso: la norma institucional no se copia dentro de este documento. Cuando SIGTM necesita citarla, la referencia por código (ADSO-AD-001) y sección.</w:t>
            </w:r>
            <w:r>
              <w:rPr/>
            </w:r>
          </w:p>
        </w:tc>
      </w:tr>
    </w:tbl>
    <w:p>
      <w:pPr>
        <w:pStyle w:val="Normal"/>
        <w:spacing w:before="0" w:after="0"/>
        <w:rPr/>
      </w:pPr>
      <w:r>
        <w:rPr/>
      </w:r>
    </w:p>
    <w:p>
      <w:pPr>
        <w:pStyle w:val="Heading1"/>
        <w:keepNext w:val="true"/>
        <w:pBdr>
          <w:bottom w:val="single" w:sz="18" w:space="1" w:color="39A900"/>
        </w:pBdr>
        <w:rPr/>
      </w:pPr>
      <w:bookmarkStart w:id="9" w:name="__RefHeading___Toc27174_2471710424"/>
      <w:bookmarkEnd w:id="9"/>
      <w:r>
        <w:rPr/>
        <w:t>5. Catálogo oficial de documentos y artefactos</w:t>
      </w:r>
    </w:p>
    <w:tbl>
      <w:tblPr>
        <w:tblStyle w:val="TableGrid"/>
        <w:tblW w:w="9935"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1987"/>
        <w:gridCol w:w="1987"/>
        <w:gridCol w:w="1987"/>
        <w:gridCol w:w="1987"/>
        <w:gridCol w:w="1987"/>
      </w:tblGrid>
      <w:tr>
        <w:trPr>
          <w:tblHeader w:val="true"/>
        </w:trPr>
        <w:tc>
          <w:tcPr>
            <w:tcW w:w="1987"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5"/>
                <w:szCs w:val="22"/>
                <w:lang w:val="en-US" w:eastAsia="en-US" w:bidi="ar-SA"/>
              </w:rPr>
              <w:t>Código</w:t>
            </w:r>
          </w:p>
        </w:tc>
        <w:tc>
          <w:tcPr>
            <w:tcW w:w="1987"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5"/>
                <w:szCs w:val="22"/>
                <w:lang w:val="en-US" w:eastAsia="en-US" w:bidi="ar-SA"/>
              </w:rPr>
              <w:t>Elemento</w:t>
            </w:r>
          </w:p>
        </w:tc>
        <w:tc>
          <w:tcPr>
            <w:tcW w:w="1987"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5"/>
                <w:szCs w:val="22"/>
                <w:lang w:val="en-US" w:eastAsia="en-US" w:bidi="ar-SA"/>
              </w:rPr>
              <w:t>Tipo</w:t>
            </w:r>
          </w:p>
        </w:tc>
        <w:tc>
          <w:tcPr>
            <w:tcW w:w="1987"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5"/>
                <w:szCs w:val="22"/>
                <w:lang w:val="en-US" w:eastAsia="en-US" w:bidi="ar-SA"/>
              </w:rPr>
              <w:t>Aplicación en SIGTM</w:t>
            </w:r>
          </w:p>
        </w:tc>
        <w:tc>
          <w:tcPr>
            <w:tcW w:w="1987"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5"/>
                <w:szCs w:val="22"/>
                <w:lang w:val="en-US" w:eastAsia="en-US" w:bidi="ar-SA"/>
              </w:rPr>
              <w:t>Estado a la fecha</w:t>
            </w:r>
          </w:p>
        </w:tc>
      </w:tr>
      <w:tr>
        <w:trPr/>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DOC-01</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Formulación y Constitución del Proyecto</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Documento principal</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Obligatorio</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En revisión</w:t>
            </w:r>
          </w:p>
        </w:tc>
      </w:tr>
      <w:tr>
        <w:trPr/>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DOC-02</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Gestión de Interesados y del Proyecto</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Documento principal</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Obligatorio</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En revisión</w:t>
            </w:r>
          </w:p>
        </w:tc>
      </w:tr>
      <w:tr>
        <w:trPr/>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DOC-03</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Alcance y Especificación de Requisitos</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Documento principal</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Obligatorio</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En revisión</w:t>
            </w:r>
          </w:p>
        </w:tc>
      </w:tr>
      <w:tr>
        <w:trPr/>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DOC-04</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Backlog, Historias de Usuario y Casos de Uso</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Documento principal</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Obligatorio</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En revisión</w:t>
            </w:r>
          </w:p>
        </w:tc>
      </w:tr>
      <w:tr>
        <w:trPr/>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DOC-05</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Diseño UX/UI y Sistema de Diseño</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Documento principal</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Aplica: producto con interfaz y sistema de diseño propio en Tailwind</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En elaboración</w:t>
            </w:r>
          </w:p>
        </w:tc>
      </w:tr>
      <w:tr>
        <w:trPr/>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DOC-06</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Arquitectura, Datos y Diseño Técnico</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Documento principal</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Obligatorio</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En elaboración</w:t>
            </w:r>
          </w:p>
        </w:tc>
      </w:tr>
      <w:tr>
        <w:trPr/>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DOC-07</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Plan de Calidad, Pruebas y Aceptación</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Documento principal</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Obligatorio</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No iniciado</w:t>
            </w:r>
          </w:p>
        </w:tc>
      </w:tr>
      <w:tr>
        <w:trPr/>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DOC-08</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Manual Técnico y de Operación</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Documento principal</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Obligatorio</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No iniciado</w:t>
            </w:r>
          </w:p>
        </w:tc>
      </w:tr>
      <w:tr>
        <w:trPr/>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DOC-09</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Manual de Usuario</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Documento principal</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Aplica: cuatro perfiles con operación real</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No iniciado</w:t>
            </w:r>
          </w:p>
        </w:tc>
      </w:tr>
      <w:tr>
        <w:trPr/>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DOC-10</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Informe de Cierre y Entrega</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Documento principal</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Obligatorio</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No iniciado</w:t>
            </w:r>
          </w:p>
        </w:tc>
      </w:tr>
      <w:tr>
        <w:trPr/>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ART-01</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README profesional</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Repositorio</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Obligatorio</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No iniciado</w:t>
            </w:r>
          </w:p>
        </w:tc>
      </w:tr>
      <w:tr>
        <w:trPr/>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ART-02</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CHANGELOG y versiones</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Repositorio</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Obligatorio</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No iniciado</w:t>
            </w:r>
          </w:p>
        </w:tc>
      </w:tr>
      <w:tr>
        <w:trPr/>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ART-03</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ADR / bitácora técnica</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Repositorio</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Aplica: seis decisiones relevantes registradas en la revisión técnica</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En elaboración</w:t>
            </w:r>
          </w:p>
        </w:tc>
      </w:tr>
      <w:tr>
        <w:trPr/>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ART-04</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OpenAPI o contrato equivalente</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Repositorio</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Aplica: API REST de diez módulos</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No iniciado</w:t>
            </w:r>
          </w:p>
        </w:tc>
      </w:tr>
      <w:tr>
        <w:trPr/>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ART-05</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Migraciones y datos semilla</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Repositorio</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Aplica: PostgreSQL con Prisma Migrate</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Aprobado</w:t>
            </w:r>
          </w:p>
        </w:tc>
      </w:tr>
      <w:tr>
        <w:trPr/>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ART-06</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Pruebas y reportes</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Repositorio</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Obligatorio: máquina de estados y cálculo de cotización</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No iniciado</w:t>
            </w:r>
          </w:p>
        </w:tc>
      </w:tr>
      <w:tr>
        <w:trPr/>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ART-07</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Pipeline de integración continua</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Repositorio</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No aplica. Justificación: proyecto formativo sin despliegue continuo; se documenta como trabajo futuro en DOC-10.</w:t>
            </w:r>
          </w:p>
        </w:tc>
        <w:tc>
          <w:tcPr>
            <w:tcW w:w="198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No aplica</w:t>
            </w:r>
          </w:p>
        </w:tc>
      </w:tr>
      <w:tr>
        <w:trPr/>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ART-08</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Configuración y despliegue</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Repositorio</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Aplica: .env.example y validación de configuración al arranque</w:t>
            </w:r>
          </w:p>
        </w:tc>
        <w:tc>
          <w:tcPr>
            <w:tcW w:w="198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En revisión</w:t>
            </w:r>
          </w:p>
        </w:tc>
      </w:tr>
    </w:tbl>
    <w:p>
      <w:pPr>
        <w:pStyle w:val="Normal"/>
        <w:spacing w:before="0" w:after="0"/>
        <w:rPr/>
      </w:pPr>
      <w:r>
        <w:rPr/>
      </w:r>
    </w:p>
    <w:p>
      <w:pPr>
        <w:pStyle w:val="Heading1"/>
        <w:keepNext w:val="true"/>
        <w:pBdr>
          <w:bottom w:val="single" w:sz="18" w:space="1" w:color="39A900"/>
        </w:pBdr>
        <w:rPr/>
      </w:pPr>
      <w:bookmarkStart w:id="10" w:name="__RefHeading___Toc27176_2471710424"/>
      <w:bookmarkEnd w:id="10"/>
      <w:r>
        <w:rPr/>
        <w:t>6. Estructura de los documentos principales</w:t>
      </w:r>
    </w:p>
    <w:p>
      <w:pPr>
        <w:pStyle w:val="Heading2"/>
        <w:keepNext w:val="true"/>
        <w:rPr/>
      </w:pPr>
      <w:bookmarkStart w:id="11" w:name="__RefHeading___Toc27178_2471710424"/>
      <w:bookmarkEnd w:id="11"/>
      <w:r>
        <w:rPr/>
        <w:t>6.1 DOC-01. Formulación y Constitución del Proyecto</w:t>
      </w:r>
    </w:p>
    <w:p>
      <w:pPr>
        <w:pStyle w:val="ListBullet"/>
        <w:numPr>
          <w:ilvl w:val="0"/>
          <w:numId w:val="1"/>
        </w:numPr>
        <w:rPr/>
      </w:pPr>
      <w:r>
        <w:rPr/>
        <w:t>Problema: el cliente de un taller de motocicletas no puede conocer el estado de su vehículo sin desplazarse o llamar (PRO-01).</w:t>
      </w:r>
    </w:p>
    <w:p>
      <w:pPr>
        <w:pStyle w:val="ListBullet"/>
        <w:numPr>
          <w:ilvl w:val="0"/>
          <w:numId w:val="1"/>
        </w:numPr>
        <w:rPr/>
      </w:pPr>
      <w:r>
        <w:rPr/>
        <w:t>Justificación: trazabilidad interna del taller y confianza verificable del cliente sobre esa trazabilidad.</w:t>
      </w:r>
    </w:p>
    <w:p>
      <w:pPr>
        <w:pStyle w:val="ListBullet"/>
        <w:numPr>
          <w:ilvl w:val="0"/>
          <w:numId w:val="1"/>
        </w:numPr>
        <w:rPr/>
      </w:pPr>
      <w:r>
        <w:rPr/>
        <w:t>Objetivo general y objetivos específicos medibles (OBJ-01 a OBJ-05).</w:t>
      </w:r>
    </w:p>
    <w:p>
      <w:pPr>
        <w:pStyle w:val="ListBullet"/>
        <w:numPr>
          <w:ilvl w:val="0"/>
          <w:numId w:val="1"/>
        </w:numPr>
        <w:rPr/>
      </w:pPr>
      <w:r>
        <w:rPr/>
        <w:t>Indicadores de éxito: orden consultable sin sesión, evidencia fotográfica visible para el cliente, inventario descontado automáticamente.</w:t>
      </w:r>
    </w:p>
    <w:p>
      <w:pPr>
        <w:pStyle w:val="ListBullet"/>
        <w:numPr>
          <w:ilvl w:val="0"/>
          <w:numId w:val="1"/>
        </w:numPr>
        <w:rPr/>
      </w:pPr>
      <w:r>
        <w:rPr/>
        <w:t>Alcance: diez módulos de backend, dieciséis pantallas y un portal externo para el rol CLIENTE.</w:t>
      </w:r>
    </w:p>
    <w:p>
      <w:pPr>
        <w:pStyle w:val="ListBullet"/>
        <w:numPr>
          <w:ilvl w:val="0"/>
          <w:numId w:val="1"/>
        </w:numPr>
        <w:rPr/>
      </w:pPr>
      <w:r>
        <w:rPr/>
        <w:t>Equipo de tres integrantes, cronograma por bloques y dieciséis riesgos identificados en la revisión técnica.</w:t>
      </w:r>
    </w:p>
    <w:p>
      <w:pPr>
        <w:pStyle w:val="ListBullet"/>
        <w:numPr>
          <w:ilvl w:val="0"/>
          <w:numId w:val="1"/>
        </w:numPr>
        <w:rPr/>
      </w:pPr>
      <w:r>
        <w:rPr/>
        <w:t>Aprobación formal del inicio por parte del instructor.</w:t>
      </w:r>
    </w:p>
    <w:p>
      <w:pPr>
        <w:pStyle w:val="Heading2"/>
        <w:keepNext w:val="true"/>
        <w:rPr/>
      </w:pPr>
      <w:bookmarkStart w:id="12" w:name="__RefHeading___Toc27180_2471710424"/>
      <w:bookmarkEnd w:id="12"/>
      <w:r>
        <w:rPr/>
        <w:t>6.2 DOC-02. Gestión de Interesados y del Proyecto</w:t>
      </w:r>
    </w:p>
    <w:p>
      <w:pPr>
        <w:pStyle w:val="ListBullet"/>
        <w:numPr>
          <w:ilvl w:val="0"/>
          <w:numId w:val="1"/>
        </w:numPr>
        <w:rPr/>
      </w:pPr>
      <w:r>
        <w:rPr/>
        <w:t>Interesados: taller (patrocinador), recepcionista, mecánico, cliente final e instructor evaluador (STK-01 a STK-05).</w:t>
      </w:r>
    </w:p>
    <w:p>
      <w:pPr>
        <w:pStyle w:val="ListBullet"/>
        <w:numPr>
          <w:ilvl w:val="0"/>
          <w:numId w:val="1"/>
        </w:numPr>
        <w:rPr/>
      </w:pPr>
      <w:r>
        <w:rPr/>
        <w:t>Comunicación del equipo y acuerdos de trabajo por bloques.</w:t>
      </w:r>
    </w:p>
    <w:p>
      <w:pPr>
        <w:pStyle w:val="ListBullet"/>
        <w:numPr>
          <w:ilvl w:val="0"/>
          <w:numId w:val="1"/>
        </w:numPr>
        <w:rPr/>
      </w:pPr>
      <w:r>
        <w:rPr/>
        <w:t>Metodología incremental por bloques funcionales, justificada por el tamaño del equipo.</w:t>
      </w:r>
    </w:p>
    <w:p>
      <w:pPr>
        <w:pStyle w:val="ListBullet"/>
        <w:numPr>
          <w:ilvl w:val="0"/>
          <w:numId w:val="1"/>
        </w:numPr>
        <w:rPr/>
      </w:pPr>
      <w:r>
        <w:rPr/>
        <w:t>Matriz RACI: Harryson (backend y datos), Dayana (interfaz y UX), Jessica (correo, calidad y documentación).</w:t>
      </w:r>
    </w:p>
    <w:p>
      <w:pPr>
        <w:pStyle w:val="ListBullet"/>
        <w:numPr>
          <w:ilvl w:val="0"/>
          <w:numId w:val="1"/>
        </w:numPr>
        <w:rPr/>
      </w:pPr>
      <w:r>
        <w:rPr/>
        <w:t>Roadmap de nueve bloques, desde el cierre de seguridad hasta la entrega.</w:t>
      </w:r>
    </w:p>
    <w:p>
      <w:pPr>
        <w:pStyle w:val="ListBullet"/>
        <w:numPr>
          <w:ilvl w:val="0"/>
          <w:numId w:val="1"/>
        </w:numPr>
        <w:rPr/>
      </w:pPr>
      <w:r>
        <w:rPr/>
        <w:t>Gestión de riesgos y control de cambios sobre el repositorio.</w:t>
      </w:r>
    </w:p>
    <w:p>
      <w:pPr>
        <w:pStyle w:val="ListBullet"/>
        <w:numPr>
          <w:ilvl w:val="0"/>
          <w:numId w:val="1"/>
        </w:numPr>
        <w:rPr/>
      </w:pPr>
      <w:r>
        <w:rPr/>
        <w:t>Referencias al repositorio github.com/repelindayeha-star/SGITM y al historial de commits por integrante.</w:t>
      </w:r>
    </w:p>
    <w:p>
      <w:pPr>
        <w:pStyle w:val="Heading2"/>
        <w:keepNext w:val="true"/>
        <w:rPr/>
      </w:pPr>
      <w:bookmarkStart w:id="13" w:name="__RefHeading___Toc27182_2471710424"/>
      <w:bookmarkEnd w:id="13"/>
      <w:r>
        <w:rPr/>
        <w:t>6.3 DOC-03. Alcance y Especificación de Requisitos</w:t>
      </w:r>
    </w:p>
    <w:p>
      <w:pPr>
        <w:pStyle w:val="ListBullet"/>
        <w:numPr>
          <w:ilvl w:val="0"/>
          <w:numId w:val="1"/>
        </w:numPr>
        <w:rPr/>
      </w:pPr>
      <w:r>
        <w:rPr/>
        <w:t>Alcance del producto, alcance del proyecto y MVP: recepción, diagnóstico, cotización, reparación, entrega y facturación.</w:t>
      </w:r>
    </w:p>
    <w:p>
      <w:pPr>
        <w:pStyle w:val="ListBullet"/>
        <w:numPr>
          <w:ilvl w:val="0"/>
          <w:numId w:val="1"/>
        </w:numPr>
        <w:rPr/>
      </w:pPr>
      <w:r>
        <w:rPr/>
        <w:t>Exclusiones justificadas: facturación electrónica DIAN, multi-taller, notificaciones por mensajería instantánea y tiempo real.</w:t>
      </w:r>
    </w:p>
    <w:p>
      <w:pPr>
        <w:pStyle w:val="ListBullet"/>
        <w:numPr>
          <w:ilvl w:val="0"/>
          <w:numId w:val="1"/>
        </w:numPr>
        <w:rPr/>
      </w:pPr>
      <w:r>
        <w:rPr/>
        <w:t>Requisitos funcionales (RF-01 a RF-42) y no funcionales medibles (RNF-01 a RNF-12).</w:t>
      </w:r>
    </w:p>
    <w:p>
      <w:pPr>
        <w:pStyle w:val="ListBullet"/>
        <w:numPr>
          <w:ilvl w:val="0"/>
          <w:numId w:val="1"/>
        </w:numPr>
        <w:rPr/>
      </w:pPr>
      <w:r>
        <w:rPr/>
        <w:t>Catálogo centralizado de reglas de negocio (RN-01 a RN-18), incluidas las transiciones válidas de la orden.</w:t>
      </w:r>
    </w:p>
    <w:p>
      <w:pPr>
        <w:pStyle w:val="ListBullet"/>
        <w:numPr>
          <w:ilvl w:val="0"/>
          <w:numId w:val="1"/>
        </w:numPr>
        <w:rPr/>
      </w:pPr>
      <w:r>
        <w:rPr/>
        <w:t>Cuatro roles —ADMINISTRADOR, RECEPCIONISTA, MECANICO, CLIENTE— y matriz de permisos por recurso y acción.</w:t>
      </w:r>
    </w:p>
    <w:p>
      <w:pPr>
        <w:pStyle w:val="ListBullet"/>
        <w:numPr>
          <w:ilvl w:val="0"/>
          <w:numId w:val="1"/>
        </w:numPr>
        <w:rPr/>
      </w:pPr>
      <w:r>
        <w:rPr/>
        <w:t>Requisitos de datos sobre once entidades e interfaces externas: reCAPTCHA v2 y proveedor SMTP.</w:t>
      </w:r>
    </w:p>
    <w:p>
      <w:pPr>
        <w:pStyle w:val="ListBullet"/>
        <w:numPr>
          <w:ilvl w:val="0"/>
          <w:numId w:val="1"/>
        </w:numPr>
        <w:rPr/>
      </w:pPr>
      <w:r>
        <w:rPr/>
        <w:t>Historial de cambios y trazabilidad hacia historias y pruebas.</w:t>
      </w:r>
    </w:p>
    <w:p>
      <w:pPr>
        <w:pStyle w:val="Heading2"/>
        <w:keepNext w:val="true"/>
        <w:rPr/>
      </w:pPr>
      <w:bookmarkStart w:id="14" w:name="__RefHeading___Toc27184_2471710424"/>
      <w:bookmarkEnd w:id="14"/>
      <w:r>
        <w:rPr/>
        <w:t>6.4 DOC-04. Backlog, Historias de Usuario y Casos de Uso</w:t>
      </w:r>
    </w:p>
    <w:p>
      <w:pPr>
        <w:pStyle w:val="ListBullet"/>
        <w:numPr>
          <w:ilvl w:val="0"/>
          <w:numId w:val="1"/>
        </w:numPr>
        <w:rPr/>
      </w:pPr>
      <w:r>
        <w:rPr/>
        <w:t>Épicas por módulo: autenticación, clientes, motocicletas, citas, órdenes, diagnóstico, inventario, facturación y portal del cliente.</w:t>
      </w:r>
    </w:p>
    <w:p>
      <w:pPr>
        <w:pStyle w:val="ListBullet"/>
        <w:numPr>
          <w:ilvl w:val="0"/>
          <w:numId w:val="1"/>
        </w:numPr>
        <w:rPr/>
      </w:pPr>
      <w:r>
        <w:rPr/>
        <w:t>Criterios de aceptación por historia y definición de terminado del equipo.</w:t>
      </w:r>
    </w:p>
    <w:p>
      <w:pPr>
        <w:pStyle w:val="ListBullet"/>
        <w:numPr>
          <w:ilvl w:val="0"/>
          <w:numId w:val="1"/>
        </w:numPr>
        <w:rPr/>
      </w:pPr>
      <w:r>
        <w:rPr/>
        <w:t>Dependencias entre bloques: el módulo de usuarios habilita la asignación de mecánico y el envío de correo.</w:t>
      </w:r>
    </w:p>
    <w:p>
      <w:pPr>
        <w:pStyle w:val="ListBullet"/>
        <w:numPr>
          <w:ilvl w:val="0"/>
          <w:numId w:val="1"/>
        </w:numPr>
        <w:rPr/>
      </w:pPr>
      <w:r>
        <w:rPr/>
        <w:t>Casos de uso completos para los procesos críticos: CU-06 seguimiento público y CU-09 cambio de estado con auditoría.</w:t>
      </w:r>
    </w:p>
    <w:p>
      <w:pPr>
        <w:pStyle w:val="ListBullet"/>
        <w:numPr>
          <w:ilvl w:val="0"/>
          <w:numId w:val="1"/>
        </w:numPr>
        <w:rPr/>
      </w:pPr>
      <w:r>
        <w:rPr/>
        <w:t>Escenarios de aceptación y evidencia de las pruebas de autorización.</w:t>
      </w:r>
    </w:p>
    <w:p>
      <w:pPr>
        <w:pStyle w:val="Heading2"/>
        <w:keepNext w:val="true"/>
        <w:rPr/>
      </w:pPr>
      <w:bookmarkStart w:id="15" w:name="__RefHeading___Toc27186_2471710424"/>
      <w:bookmarkEnd w:id="15"/>
      <w:r>
        <w:rPr/>
        <w:t>6.5 DOC-05. Diseño UX/UI y Sistema de Diseño</w:t>
      </w:r>
    </w:p>
    <w:p>
      <w:pPr>
        <w:pStyle w:val="ListBullet"/>
        <w:numPr>
          <w:ilvl w:val="0"/>
          <w:numId w:val="1"/>
        </w:numPr>
        <w:rPr/>
      </w:pPr>
      <w:r>
        <w:rPr/>
        <w:t>Cuatro perfiles con rutas de aterrizaje diferenciadas y mapa de navegación por rol.</w:t>
      </w:r>
    </w:p>
    <w:p>
      <w:pPr>
        <w:pStyle w:val="ListBullet"/>
        <w:numPr>
          <w:ilvl w:val="0"/>
          <w:numId w:val="1"/>
        </w:numPr>
        <w:rPr/>
      </w:pPr>
      <w:r>
        <w:rPr/>
        <w:t>Inventario de dieciséis pantallas construidas en React, más la pantalla pública de seguimiento.</w:t>
      </w:r>
    </w:p>
    <w:p>
      <w:pPr>
        <w:pStyle w:val="ListBullet"/>
        <w:numPr>
          <w:ilvl w:val="0"/>
          <w:numId w:val="1"/>
        </w:numPr>
        <w:rPr/>
      </w:pPr>
      <w:r>
        <w:rPr/>
        <w:t>Estados de carga, vacío, error y sin permisos resueltos con componentes propios reutilizables.</w:t>
      </w:r>
    </w:p>
    <w:p>
      <w:pPr>
        <w:pStyle w:val="ListBullet"/>
        <w:numPr>
          <w:ilvl w:val="0"/>
          <w:numId w:val="1"/>
        </w:numPr>
        <w:rPr/>
      </w:pPr>
      <w:r>
        <w:rPr/>
        <w:t>Diseño responsive con Tailwind 4 y captura desde cámara en dispositivos móviles.</w:t>
      </w:r>
    </w:p>
    <w:p>
      <w:pPr>
        <w:pStyle w:val="ListBullet"/>
        <w:numPr>
          <w:ilvl w:val="0"/>
          <w:numId w:val="1"/>
        </w:numPr>
        <w:rPr/>
      </w:pPr>
      <w:r>
        <w:rPr/>
        <w:t>Registro de cambios de interfaz derivados de la revisión técnica.</w:t>
      </w:r>
    </w:p>
    <w:p>
      <w:pPr>
        <w:pStyle w:val="ListBullet"/>
        <w:numPr>
          <w:ilvl w:val="0"/>
          <w:numId w:val="1"/>
        </w:numPr>
        <w:rPr/>
      </w:pPr>
      <w:r>
        <w:rPr/>
        <w:t>Sistema de diseño propio: paleta taller-* y ambar-*, tipografías Oswald, Inter y JetBrains Mono, definidas como tokens en @theme.</w:t>
      </w:r>
    </w:p>
    <w:p>
      <w:pPr>
        <w:pStyle w:val="Heading2"/>
        <w:keepNext w:val="true"/>
        <w:rPr/>
      </w:pPr>
      <w:bookmarkStart w:id="16" w:name="__RefHeading___Toc27188_2471710424"/>
      <w:bookmarkEnd w:id="16"/>
      <w:r>
        <w:rPr/>
        <w:t>6.6 DOC-06. Arquitectura, Datos y Diseño Técnico</w:t>
      </w:r>
    </w:p>
    <w:p>
      <w:pPr>
        <w:pStyle w:val="ListBullet"/>
        <w:numPr>
          <w:ilvl w:val="0"/>
          <w:numId w:val="1"/>
        </w:numPr>
        <w:rPr/>
      </w:pPr>
      <w:r>
        <w:rPr/>
        <w:t>Drivers: trazabilidad verificable, autorización por rol y por propiedad, y reproducibilidad del entorno.</w:t>
      </w:r>
    </w:p>
    <w:p>
      <w:pPr>
        <w:pStyle w:val="ListBullet"/>
        <w:numPr>
          <w:ilvl w:val="0"/>
          <w:numId w:val="1"/>
        </w:numPr>
        <w:rPr/>
      </w:pPr>
      <w:r>
        <w:rPr/>
        <w:t>Patrón por capas: rutas, validadores, controladores, servicios, repositorios y ORM. Prisma como única capa de acceso a datos.</w:t>
      </w:r>
    </w:p>
    <w:p>
      <w:pPr>
        <w:pStyle w:val="ListBullet"/>
        <w:numPr>
          <w:ilvl w:val="0"/>
          <w:numId w:val="1"/>
        </w:numPr>
        <w:rPr/>
      </w:pPr>
      <w:r>
        <w:rPr/>
        <w:t>Diagramas de contexto, contenedores, secuencia del cambio de estado y despliegue local.</w:t>
      </w:r>
    </w:p>
    <w:p>
      <w:pPr>
        <w:pStyle w:val="ListBullet"/>
        <w:numPr>
          <w:ilvl w:val="0"/>
          <w:numId w:val="1"/>
        </w:numPr>
        <w:rPr/>
      </w:pPr>
      <w:r>
        <w:rPr/>
        <w:t>Modelo de datos con once entidades, cuatro enumeraciones de dominio y las relaciones de auditoría.</w:t>
      </w:r>
    </w:p>
    <w:p>
      <w:pPr>
        <w:pStyle w:val="ListBullet"/>
        <w:numPr>
          <w:ilvl w:val="0"/>
          <w:numId w:val="1"/>
        </w:numPr>
        <w:rPr/>
      </w:pPr>
      <w:r>
        <w:rPr/>
        <w:t>Diccionario de datos, restricciones únicas (placa, código de orden, número de factura), migraciones de Prisma y datos semilla.</w:t>
      </w:r>
    </w:p>
    <w:p>
      <w:pPr>
        <w:pStyle w:val="ListBullet"/>
        <w:numPr>
          <w:ilvl w:val="0"/>
          <w:numId w:val="1"/>
        </w:numPr>
        <w:rPr/>
      </w:pPr>
      <w:r>
        <w:rPr/>
        <w:t>Diseño de la API REST de diez módulos, autenticación JWT, autorización horizontal y vertical, y salud del servicio.</w:t>
      </w:r>
    </w:p>
    <w:p>
      <w:pPr>
        <w:pStyle w:val="ListBullet"/>
        <w:numPr>
          <w:ilvl w:val="0"/>
          <w:numId w:val="1"/>
        </w:numPr>
        <w:rPr/>
      </w:pPr>
      <w:r>
        <w:rPr/>
        <w:t>Índice de decisiones ADR-001 a ADR-006 derivadas de la revisión técnica.</w:t>
      </w:r>
    </w:p>
    <w:p>
      <w:pPr>
        <w:pStyle w:val="Heading2"/>
        <w:keepNext w:val="true"/>
        <w:rPr/>
      </w:pPr>
      <w:bookmarkStart w:id="17" w:name="__RefHeading___Toc27190_2471710424"/>
      <w:bookmarkEnd w:id="17"/>
      <w:r>
        <w:rPr/>
        <w:t>6.7 DOC-07. Plan de Calidad, Pruebas y Aceptación</w:t>
      </w:r>
    </w:p>
    <w:p>
      <w:pPr>
        <w:pStyle w:val="ListBullet"/>
        <w:numPr>
          <w:ilvl w:val="0"/>
          <w:numId w:val="1"/>
        </w:numPr>
        <w:rPr/>
      </w:pPr>
      <w:r>
        <w:rPr/>
        <w:t>Alcance de pruebas, ambiente local, datos semilla reproducibles y responsables por módulo.</w:t>
      </w:r>
    </w:p>
    <w:p>
      <w:pPr>
        <w:pStyle w:val="ListBullet"/>
        <w:numPr>
          <w:ilvl w:val="0"/>
          <w:numId w:val="1"/>
        </w:numPr>
        <w:rPr/>
      </w:pPr>
      <w:r>
        <w:rPr/>
        <w:t>Pruebas unitarias sobre la máquina de estados y el cálculo de cotización; pruebas de API por módulo.</w:t>
      </w:r>
    </w:p>
    <w:p>
      <w:pPr>
        <w:pStyle w:val="ListBullet"/>
        <w:numPr>
          <w:ilvl w:val="0"/>
          <w:numId w:val="1"/>
        </w:numPr>
        <w:rPr/>
      </w:pPr>
      <w:r>
        <w:rPr/>
        <w:t>Pruebas de autorización obligatorias: un CLIENTE debe recibir 403 al solicitar recursos de otro cliente.</w:t>
      </w:r>
    </w:p>
    <w:p>
      <w:pPr>
        <w:pStyle w:val="ListBullet"/>
        <w:numPr>
          <w:ilvl w:val="0"/>
          <w:numId w:val="1"/>
        </w:numPr>
        <w:rPr/>
      </w:pPr>
      <w:r>
        <w:rPr/>
        <w:t>Criterios de entrada y salida por bloque funcional.</w:t>
      </w:r>
    </w:p>
    <w:p>
      <w:pPr>
        <w:pStyle w:val="ListBullet"/>
        <w:numPr>
          <w:ilvl w:val="0"/>
          <w:numId w:val="1"/>
        </w:numPr>
        <w:rPr/>
      </w:pPr>
      <w:r>
        <w:rPr/>
        <w:t>Matriz de cobertura, registro de defectos y evidencias capturadas.</w:t>
      </w:r>
    </w:p>
    <w:p>
      <w:pPr>
        <w:pStyle w:val="Heading2"/>
        <w:keepNext w:val="true"/>
        <w:rPr/>
      </w:pPr>
      <w:bookmarkStart w:id="18" w:name="__RefHeading___Toc27192_2471710424"/>
      <w:bookmarkEnd w:id="18"/>
      <w:r>
        <w:rPr/>
        <w:t>6.8 DOC-08. Manual Técnico y de Operación</w:t>
      </w:r>
    </w:p>
    <w:p>
      <w:pPr>
        <w:pStyle w:val="ListBullet"/>
        <w:numPr>
          <w:ilvl w:val="0"/>
          <w:numId w:val="1"/>
        </w:numPr>
        <w:rPr/>
      </w:pPr>
      <w:r>
        <w:rPr/>
        <w:t>Requisitos: Node.js 24, PostgreSQL, variables documentadas en .env.example.</w:t>
      </w:r>
    </w:p>
    <w:p>
      <w:pPr>
        <w:pStyle w:val="ListBullet"/>
        <w:numPr>
          <w:ilvl w:val="0"/>
          <w:numId w:val="1"/>
        </w:numPr>
        <w:rPr/>
      </w:pPr>
      <w:r>
        <w:rPr/>
        <w:t>Instalación, migraciones con Prisma Migrate, siembra con npm run db:seed y ejecución de backend y frontend.</w:t>
      </w:r>
    </w:p>
    <w:p>
      <w:pPr>
        <w:pStyle w:val="ListBullet"/>
        <w:numPr>
          <w:ilvl w:val="0"/>
          <w:numId w:val="1"/>
        </w:numPr>
        <w:rPr/>
      </w:pPr>
      <w:r>
        <w:rPr/>
        <w:t>Registro de peticiones por entorno, verificación de salud contra la base de datos y cierre ordenado del servidor.</w:t>
      </w:r>
    </w:p>
    <w:p>
      <w:pPr>
        <w:pStyle w:val="ListBullet"/>
        <w:numPr>
          <w:ilvl w:val="0"/>
          <w:numId w:val="1"/>
        </w:numPr>
        <w:rPr/>
      </w:pPr>
      <w:r>
        <w:rPr/>
        <w:t>Solución de problemas frecuentes y mantenimiento de dependencias.</w:t>
      </w:r>
    </w:p>
    <w:p>
      <w:pPr>
        <w:pStyle w:val="Heading2"/>
        <w:keepNext w:val="true"/>
        <w:rPr/>
      </w:pPr>
      <w:bookmarkStart w:id="19" w:name="__RefHeading___Toc27194_2471710424"/>
      <w:bookmarkEnd w:id="19"/>
      <w:r>
        <w:rPr/>
        <w:t>6.9 DOC-09. Manual de Usuario</w:t>
      </w:r>
    </w:p>
    <w:p>
      <w:pPr>
        <w:pStyle w:val="ListBullet"/>
        <w:numPr>
          <w:ilvl w:val="0"/>
          <w:numId w:val="1"/>
        </w:numPr>
        <w:rPr/>
      </w:pPr>
      <w:r>
        <w:rPr/>
        <w:t>Cuatro roles con acceso y navegación diferenciados, más el seguimiento público sin sesión.</w:t>
      </w:r>
    </w:p>
    <w:p>
      <w:pPr>
        <w:pStyle w:val="ListBullet"/>
        <w:numPr>
          <w:ilvl w:val="0"/>
          <w:numId w:val="1"/>
        </w:numPr>
        <w:rPr/>
      </w:pPr>
      <w:r>
        <w:rPr/>
        <w:t>Procedimientos por perfil con capturas actualizadas de la versión entregada.</w:t>
      </w:r>
    </w:p>
    <w:p>
      <w:pPr>
        <w:pStyle w:val="ListBullet"/>
        <w:numPr>
          <w:ilvl w:val="0"/>
          <w:numId w:val="1"/>
        </w:numPr>
        <w:rPr/>
      </w:pPr>
      <w:r>
        <w:rPr/>
        <w:t>Mensajes de error del sistema y canal de soporte del taller.</w:t>
      </w:r>
    </w:p>
    <w:p>
      <w:pPr>
        <w:pStyle w:val="Heading2"/>
        <w:keepNext w:val="true"/>
        <w:rPr/>
      </w:pPr>
      <w:bookmarkStart w:id="20" w:name="__RefHeading___Toc27196_2471710424"/>
      <w:bookmarkEnd w:id="20"/>
      <w:r>
        <w:rPr/>
        <w:t>6.10 DOC-10. Informe de Cierre y Entrega</w:t>
      </w:r>
    </w:p>
    <w:p>
      <w:pPr>
        <w:pStyle w:val="ListBullet"/>
        <w:numPr>
          <w:ilvl w:val="0"/>
          <w:numId w:val="1"/>
        </w:numPr>
        <w:rPr/>
      </w:pPr>
      <w:r>
        <w:rPr/>
        <w:t>Objetivos alcanzados y alcance efectivamente entregado frente al formulado.</w:t>
      </w:r>
    </w:p>
    <w:p>
      <w:pPr>
        <w:pStyle w:val="ListBullet"/>
        <w:numPr>
          <w:ilvl w:val="0"/>
          <w:numId w:val="1"/>
        </w:numPr>
        <w:rPr/>
      </w:pPr>
      <w:r>
        <w:rPr/>
        <w:t>Resultados de pruebas, con énfasis en las de autorización.</w:t>
      </w:r>
    </w:p>
    <w:p>
      <w:pPr>
        <w:pStyle w:val="ListBullet"/>
        <w:numPr>
          <w:ilvl w:val="0"/>
          <w:numId w:val="1"/>
        </w:numPr>
        <w:rPr/>
      </w:pPr>
      <w:r>
        <w:rPr/>
        <w:t>Deuda técnica declarada: sin integración continua, sin paginación en algunos listados y token JWT almacenado en el navegador.</w:t>
      </w:r>
    </w:p>
    <w:p>
      <w:pPr>
        <w:pStyle w:val="ListBullet"/>
        <w:numPr>
          <w:ilvl w:val="0"/>
          <w:numId w:val="1"/>
        </w:numPr>
        <w:rPr/>
      </w:pPr>
      <w:r>
        <w:rPr/>
        <w:t>Lecciones aprendidas y trabajo futuro: facturación electrónica, despliegue y multi-taller.</w:t>
      </w:r>
    </w:p>
    <w:p>
      <w:pPr>
        <w:pStyle w:val="ListBullet"/>
        <w:numPr>
          <w:ilvl w:val="0"/>
          <w:numId w:val="1"/>
        </w:numPr>
        <w:rPr/>
      </w:pPr>
      <w:r>
        <w:rPr/>
        <w:t>Versiones, enlaces del repositorio, responsables y declaración de autoría y uso de asistencia por IA.</w:t>
      </w:r>
    </w:p>
    <w:p>
      <w:pPr>
        <w:pStyle w:val="Normal"/>
        <w:rPr/>
      </w:pPr>
      <w:r>
        <w:rPr/>
      </w:r>
      <w:r>
        <w:br w:type="page"/>
      </w:r>
    </w:p>
    <w:p>
      <w:pPr>
        <w:pStyle w:val="Heading1"/>
        <w:keepNext w:val="true"/>
        <w:pBdr>
          <w:bottom w:val="single" w:sz="18" w:space="1" w:color="39A900"/>
        </w:pBdr>
        <w:spacing w:before="0" w:after="100"/>
        <w:rPr/>
      </w:pPr>
      <w:bookmarkStart w:id="21" w:name="__RefHeading___Toc27198_2471710424"/>
      <w:bookmarkEnd w:id="21"/>
      <w:r>
        <w:rPr/>
        <w:t>7. Artefactos vivos del repositorio</w:t>
      </w:r>
    </w:p>
    <w:p>
      <w:pPr>
        <w:pStyle w:val="Normal"/>
        <w:rPr/>
      </w:pPr>
      <w:r>
        <w:rPr/>
        <w:t>Los siguientes elementos existen —o deben existir— en el repositorio de SIGTM y no se reproducen en este documento. Aquí se registra su propósito, ubicación y estado real a la fecha de esta versión.</w:t>
      </w:r>
    </w:p>
    <w:tbl>
      <w:tblPr>
        <w:tblStyle w:val="TableGrid"/>
        <w:tblW w:w="99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2484"/>
        <w:gridCol w:w="2484"/>
        <w:gridCol w:w="2484"/>
        <w:gridCol w:w="2483"/>
      </w:tblGrid>
      <w:tr>
        <w:trPr>
          <w:tblHeader w:val="true"/>
        </w:trPr>
        <w:tc>
          <w:tcPr>
            <w:tcW w:w="2484"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5"/>
                <w:szCs w:val="22"/>
                <w:lang w:val="en-US" w:eastAsia="en-US" w:bidi="ar-SA"/>
              </w:rPr>
              <w:t>Artefacto</w:t>
            </w:r>
          </w:p>
        </w:tc>
        <w:tc>
          <w:tcPr>
            <w:tcW w:w="2484"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5"/>
                <w:szCs w:val="22"/>
                <w:lang w:val="en-US" w:eastAsia="en-US" w:bidi="ar-SA"/>
              </w:rPr>
              <w:t>Ubicación en SIGTM</w:t>
            </w:r>
          </w:p>
        </w:tc>
        <w:tc>
          <w:tcPr>
            <w:tcW w:w="2484"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5"/>
                <w:szCs w:val="22"/>
                <w:lang w:val="en-US" w:eastAsia="en-US" w:bidi="ar-SA"/>
              </w:rPr>
              <w:t>Función</w:t>
            </w:r>
          </w:p>
        </w:tc>
        <w:tc>
          <w:tcPr>
            <w:tcW w:w="2483"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5"/>
                <w:szCs w:val="22"/>
                <w:lang w:val="en-US" w:eastAsia="en-US" w:bidi="ar-SA"/>
              </w:rPr>
              <w:t>Estado</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README</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README.md</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Presentación, instalación, ejecución, credenciales de demostración y autores.</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Pendiente</w:t>
            </w:r>
          </w:p>
        </w:tc>
      </w:tr>
      <w:tr>
        <w:trPr/>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Historial de cambios</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CHANGELOG.md</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Versiones, mejoras y correcciones por bloque.</w:t>
            </w:r>
          </w:p>
        </w:tc>
        <w:tc>
          <w:tcPr>
            <w:tcW w:w="2483"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Pendiente</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Decisiones</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docs/adr/*.md</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Contexto, opciones, decisión y consecuencias (ADR-001 a ADR-006).</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En elaboración</w:t>
            </w:r>
          </w:p>
        </w:tc>
      </w:tr>
      <w:tr>
        <w:trPr/>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Contrato de API</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openapi.yaml</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Diez módulos, esquemas, autenticación JWT y respuestas.</w:t>
            </w:r>
          </w:p>
        </w:tc>
        <w:tc>
          <w:tcPr>
            <w:tcW w:w="2483"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Pendiente</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Migraciones</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prisma/migrations/</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Evolución reproducible del esquema PostgreSQL.</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Vigente</w:t>
            </w:r>
          </w:p>
        </w:tc>
      </w:tr>
      <w:tr>
        <w:trPr/>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Datos semilla</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prisma/seed.js</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Cinco cuentas de demostración, cliente con motocicleta y catálogo de repuestos.</w:t>
            </w:r>
          </w:p>
        </w:tc>
        <w:tc>
          <w:tcPr>
            <w:tcW w:w="2483"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Vigente</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Pruebas</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tests/ y reportes de Vitest</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Máquina de estados, cálculo de cotización y autorización.</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Pendiente</w:t>
            </w:r>
          </w:p>
        </w:tc>
      </w:tr>
      <w:tr>
        <w:trPr/>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Configuración</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.env.example y src/config/env.js</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Variables documentadas y validación en el arranque.</w:t>
            </w:r>
          </w:p>
        </w:tc>
        <w:tc>
          <w:tcPr>
            <w:tcW w:w="2483"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Vigente</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Normalización</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.gitattributes</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Finales de línea LF para diffs legibles entre integrantes.</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Vigente</w:t>
            </w:r>
          </w:p>
        </w:tc>
      </w:tr>
      <w:tr>
        <w:trPr/>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Colaboración</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Commits e historial de github.com/repelindayeha-star/SGITM</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Evidencia de progreso y contribución individual.</w:t>
            </w:r>
          </w:p>
        </w:tc>
        <w:tc>
          <w:tcPr>
            <w:tcW w:w="2483"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Vigente</w:t>
            </w:r>
          </w:p>
        </w:tc>
      </w:tr>
    </w:tbl>
    <w:p>
      <w:pPr>
        <w:pStyle w:val="Normal"/>
        <w:spacing w:before="0" w:after="0"/>
        <w:rPr/>
      </w:pPr>
      <w:r>
        <w:rPr/>
      </w:r>
    </w:p>
    <w:p>
      <w:pPr>
        <w:pStyle w:val="Heading1"/>
        <w:keepNext w:val="true"/>
        <w:pBdr>
          <w:bottom w:val="single" w:sz="18" w:space="1" w:color="39A900"/>
        </w:pBdr>
        <w:rPr/>
      </w:pPr>
      <w:bookmarkStart w:id="22" w:name="__RefHeading___Toc27200_2471710424"/>
      <w:bookmarkEnd w:id="22"/>
      <w:r>
        <w:rPr/>
        <w:t>8. Trazabilidad integral</w:t>
      </w:r>
    </w:p>
    <w:p>
      <w:pPr>
        <w:pStyle w:val="Normal"/>
        <w:rPr/>
      </w:pPr>
      <w:r>
        <w:rPr/>
        <w:t>La matriz de trazabilidad de SIGTM se mantiene en el Índice Maestro y Control de Entregables (TRZ-01, formato XLSX) y se versiona junto al repositorio. Ningún requisito aprobado puede quedar sin diseño, implementación ni prueba.</w:t>
      </w:r>
    </w:p>
    <w:tbl>
      <w:tblPr>
        <w:tblW w:w="9936" w:type="dxa"/>
        <w:jc w:val="center"/>
        <w:tblInd w:w="0" w:type="dxa"/>
        <w:tblLayout w:type="fixed"/>
        <w:tblCellMar>
          <w:top w:w="140" w:type="dxa"/>
          <w:left w:w="180" w:type="dxa"/>
          <w:bottom w:w="140" w:type="dxa"/>
          <w:right w:w="180" w:type="dxa"/>
        </w:tblCellMar>
        <w:tblLook w:val="04a0" w:noHBand="0" w:noVBand="1" w:firstColumn="1" w:lastRow="0" w:lastColumn="0" w:firstRow="1"/>
      </w:tblPr>
      <w:tblGrid>
        <w:gridCol w:w="9936"/>
      </w:tblGrid>
      <w:tr>
        <w:trPr/>
        <w:tc>
          <w:tcPr>
            <w:tcW w:w="9936" w:type="dxa"/>
            <w:tcBorders/>
            <w:shd w:fill="E8F0FE"/>
          </w:tcPr>
          <w:p>
            <w:pPr>
              <w:pStyle w:val="Normal"/>
              <w:widowControl/>
              <w:bidi w:val="0"/>
              <w:spacing w:lineRule="auto" w:line="268" w:before="0" w:after="120"/>
              <w:jc w:val="left"/>
              <w:rPr/>
            </w:pPr>
            <w:r>
              <w:rPr>
                <w:b/>
                <w:color w:val="2D58C8"/>
              </w:rPr>
              <w:t>Cadena mínima verificada en SIGTM: Problema → Objetivo → Interesado → Alcance → Requisito → Regla de negocio → Historia → Pantalla → Componente → Endpoint → Caso de prueba → Evidencia.</w:t>
            </w:r>
            <w:r>
              <w:rPr/>
            </w:r>
          </w:p>
        </w:tc>
      </w:tr>
    </w:tbl>
    <w:p>
      <w:pPr>
        <w:pStyle w:val="Normal"/>
        <w:spacing w:before="0" w:after="0"/>
        <w:rPr/>
      </w:pPr>
      <w:r>
        <w:rPr/>
      </w:r>
    </w:p>
    <w:tbl>
      <w:tblPr>
        <w:tblStyle w:val="TableGrid"/>
        <w:tblW w:w="99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4968"/>
        <w:gridCol w:w="4967"/>
      </w:tblGrid>
      <w:tr>
        <w:trPr>
          <w:tblHeader w:val="true"/>
        </w:trPr>
        <w:tc>
          <w:tcPr>
            <w:tcW w:w="4968"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Campo</w:t>
            </w:r>
          </w:p>
        </w:tc>
        <w:tc>
          <w:tcPr>
            <w:tcW w:w="4967"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Ejemplo real en SIGTM</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Problema</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PRO-01 — El cliente no puede conocer el estado de su motocicleta sin desplazarse al taller.</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Objetivo</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OBJ-02 — Permitir la consulta autónoma del avance de la orden.</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Stakeholder</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STK-03 — Cliente del taller.</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Requisito</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RF-08 — Consultar el estado de una orden mediante su código público. / RNF-03 — La consulta no debe exponer datos personales.</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Regla</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RN-03 — El seguimiento público devuelve únicamente estado, avance y datos de la motocicleta.</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Historia / caso de uso</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HU-12 / CU-06 — Seguimiento de la orden por código o QR.</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Pantalla</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UI-14 — Seguimiento público (/seguimiento/:codigo).</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Componente</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CMP-05 — LineaTiempoOrden.jsx.</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Endpoint</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API-17 — GET /api/ordenes/seguimiento/:codigo.</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Caso de prueba</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CP-31 — La respuesta pública no contiene nombre, correo, cotización ni factura.</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Evidencia</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EV-22 — Captura de la respuesta del endpoint sin sesión iniciada.</w:t>
            </w:r>
          </w:p>
        </w:tc>
      </w:tr>
    </w:tbl>
    <w:p>
      <w:pPr>
        <w:pStyle w:val="Normal"/>
        <w:spacing w:before="0" w:after="0"/>
        <w:rPr/>
      </w:pPr>
      <w:r>
        <w:rPr/>
      </w:r>
    </w:p>
    <w:p>
      <w:pPr>
        <w:pStyle w:val="Heading2"/>
        <w:keepNext w:val="true"/>
        <w:rPr/>
      </w:pPr>
      <w:bookmarkStart w:id="23" w:name="__RefHeading___Toc27202_2471710424"/>
      <w:bookmarkEnd w:id="23"/>
      <w:r>
        <w:rPr/>
        <w:t>8.1 Reglas de trazabilidad</w:t>
      </w:r>
    </w:p>
    <w:p>
      <w:pPr>
        <w:pStyle w:val="ListBullet"/>
        <w:numPr>
          <w:ilvl w:val="0"/>
          <w:numId w:val="1"/>
        </w:numPr>
        <w:rPr/>
      </w:pPr>
      <w:r>
        <w:rPr/>
        <w:t>No debe existir un requisito aprobado sin responsable, prioridad y método de verificación.</w:t>
      </w:r>
    </w:p>
    <w:p>
      <w:pPr>
        <w:pStyle w:val="ListBullet"/>
        <w:numPr>
          <w:ilvl w:val="0"/>
          <w:numId w:val="1"/>
        </w:numPr>
        <w:rPr/>
      </w:pPr>
      <w:r>
        <w:rPr/>
        <w:t>No debe declararse una funcionalidad como terminada sin prueba y evidencia relacionada.</w:t>
      </w:r>
    </w:p>
    <w:p>
      <w:pPr>
        <w:pStyle w:val="ListBullet"/>
        <w:numPr>
          <w:ilvl w:val="0"/>
          <w:numId w:val="1"/>
        </w:numPr>
        <w:rPr/>
      </w:pPr>
      <w:r>
        <w:rPr/>
        <w:t>Todo cambio de alcance o requisito debe registrar impacto en diseño, arquitectura, código, pruebas y manuales.</w:t>
      </w:r>
    </w:p>
    <w:p>
      <w:pPr>
        <w:pStyle w:val="ListBullet"/>
        <w:numPr>
          <w:ilvl w:val="0"/>
          <w:numId w:val="1"/>
        </w:numPr>
        <w:rPr/>
      </w:pPr>
      <w:r>
        <w:rPr/>
        <w:t>La versión entregada debe corresponder con la documentación y la etiqueta de liberación.</w:t>
      </w:r>
    </w:p>
    <w:p>
      <w:pPr>
        <w:pStyle w:val="ListBullet"/>
        <w:numPr>
          <w:ilvl w:val="0"/>
          <w:numId w:val="1"/>
        </w:numPr>
        <w:rPr/>
      </w:pPr>
      <w:r>
        <w:rPr/>
        <w:t>Las relaciones pueden ser uno a muchos; no se exige una correspondencia artificial de uno a uno.</w:t>
      </w:r>
    </w:p>
    <w:p>
      <w:pPr>
        <w:pStyle w:val="Heading1"/>
        <w:keepNext w:val="true"/>
        <w:pBdr>
          <w:bottom w:val="single" w:sz="18" w:space="1" w:color="39A900"/>
        </w:pBdr>
        <w:rPr/>
      </w:pPr>
      <w:bookmarkStart w:id="24" w:name="__RefHeading___Toc27204_2471710424"/>
      <w:bookmarkEnd w:id="24"/>
      <w:r>
        <w:rPr/>
        <w:t>9. Gobierno y control documental</w:t>
      </w:r>
    </w:p>
    <w:tbl>
      <w:tblPr>
        <w:tblStyle w:val="TableGrid"/>
        <w:tblW w:w="99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4968"/>
        <w:gridCol w:w="4967"/>
      </w:tblGrid>
      <w:tr>
        <w:trPr>
          <w:tblHeader w:val="true"/>
        </w:trPr>
        <w:tc>
          <w:tcPr>
            <w:tcW w:w="4968"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Elemento</w:t>
            </w:r>
          </w:p>
        </w:tc>
        <w:tc>
          <w:tcPr>
            <w:tcW w:w="4967"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Regla</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Código</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Todo documento y artefacto relevante debe tener identificador único.</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Versión</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 utilizará versionamiento mayor.menor; los cambios críticos incrementan la versión mayor.</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Estado</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Borrador, En revisión, Aprobado, Obsoleto o Archivado.</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Responsables</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Cada documento debe indicar quién elabora, revisa y aprueba.</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Ubicación</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 definirá una ruta oficial y se evitarán copias paralelas sin control.</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Historial</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Todo cambio material debe registrar fecha, descripción, responsable e impacto.</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Aprobación</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 aprobación debe quedar demostrada mediante firma, acta, comentario en herramienta o evidencia equivalente.</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Obsolescencia</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Los documentos reemplazados se conservan como históricos, pero se identifican claramente.</w:t>
            </w:r>
          </w:p>
        </w:tc>
      </w:tr>
    </w:tbl>
    <w:p>
      <w:pPr>
        <w:pStyle w:val="Normal"/>
        <w:spacing w:before="0" w:after="0"/>
        <w:rPr/>
      </w:pPr>
      <w:r>
        <w:rPr/>
      </w:r>
    </w:p>
    <w:p>
      <w:pPr>
        <w:pStyle w:val="Heading2"/>
        <w:keepNext w:val="true"/>
        <w:rPr/>
      </w:pPr>
      <w:bookmarkStart w:id="25" w:name="__RefHeading___Toc27206_2471710424"/>
      <w:bookmarkEnd w:id="25"/>
      <w:r>
        <w:rPr/>
        <w:t>9.1 Estructura común obligatoria</w:t>
      </w:r>
    </w:p>
    <w:p>
      <w:pPr>
        <w:pStyle w:val="ListBullet"/>
        <w:numPr>
          <w:ilvl w:val="0"/>
          <w:numId w:val="1"/>
        </w:numPr>
        <w:rPr/>
      </w:pPr>
      <w:r>
        <w:rPr/>
        <w:t>Portada o encabezado institucional.</w:t>
      </w:r>
    </w:p>
    <w:p>
      <w:pPr>
        <w:pStyle w:val="ListBullet"/>
        <w:numPr>
          <w:ilvl w:val="0"/>
          <w:numId w:val="1"/>
        </w:numPr>
        <w:rPr/>
      </w:pPr>
      <w:r>
        <w:rPr/>
        <w:t>Código, versión, fecha y estado.</w:t>
      </w:r>
    </w:p>
    <w:p>
      <w:pPr>
        <w:pStyle w:val="ListBullet"/>
        <w:numPr>
          <w:ilvl w:val="0"/>
          <w:numId w:val="1"/>
        </w:numPr>
        <w:rPr/>
      </w:pPr>
      <w:r>
        <w:rPr/>
        <w:t>Propósito y alcance del documento.</w:t>
      </w:r>
    </w:p>
    <w:p>
      <w:pPr>
        <w:pStyle w:val="ListBullet"/>
        <w:numPr>
          <w:ilvl w:val="0"/>
          <w:numId w:val="1"/>
        </w:numPr>
        <w:rPr/>
      </w:pPr>
      <w:r>
        <w:rPr/>
        <w:t>Definiciones o referencias cuando sean necesarias.</w:t>
      </w:r>
    </w:p>
    <w:p>
      <w:pPr>
        <w:pStyle w:val="ListBullet"/>
        <w:numPr>
          <w:ilvl w:val="0"/>
          <w:numId w:val="1"/>
        </w:numPr>
        <w:rPr/>
      </w:pPr>
      <w:r>
        <w:rPr/>
        <w:t>Contenido técnico o funcional.</w:t>
      </w:r>
    </w:p>
    <w:p>
      <w:pPr>
        <w:pStyle w:val="ListBullet"/>
        <w:numPr>
          <w:ilvl w:val="0"/>
          <w:numId w:val="1"/>
        </w:numPr>
        <w:rPr/>
      </w:pPr>
      <w:r>
        <w:rPr/>
        <w:t>Responsables y aprobaciones.</w:t>
      </w:r>
    </w:p>
    <w:p>
      <w:pPr>
        <w:pStyle w:val="ListBullet"/>
        <w:numPr>
          <w:ilvl w:val="0"/>
          <w:numId w:val="1"/>
        </w:numPr>
        <w:rPr/>
      </w:pPr>
      <w:r>
        <w:rPr/>
        <w:t>Control de cambios.</w:t>
      </w:r>
    </w:p>
    <w:p>
      <w:pPr>
        <w:pStyle w:val="ListBullet"/>
        <w:numPr>
          <w:ilvl w:val="0"/>
          <w:numId w:val="1"/>
        </w:numPr>
        <w:rPr/>
      </w:pPr>
      <w:r>
        <w:rPr/>
        <w:t>Anexos o enlaces a evidencias.</w:t>
      </w:r>
    </w:p>
    <w:p>
      <w:pPr>
        <w:pStyle w:val="Heading1"/>
        <w:keepNext w:val="true"/>
        <w:pBdr>
          <w:bottom w:val="single" w:sz="18" w:space="1" w:color="39A900"/>
        </w:pBdr>
        <w:rPr/>
      </w:pPr>
      <w:bookmarkStart w:id="26" w:name="__RefHeading___Toc27208_2471710424"/>
      <w:bookmarkEnd w:id="26"/>
      <w:r>
        <w:rPr/>
        <w:t>10. Ciclo de vida de la documentación</w:t>
      </w:r>
    </w:p>
    <w:tbl>
      <w:tblPr>
        <w:tblStyle w:val="TableGrid"/>
        <w:tblW w:w="99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3312"/>
        <w:gridCol w:w="3312"/>
        <w:gridCol w:w="3312"/>
      </w:tblGrid>
      <w:tr>
        <w:trPr>
          <w:tblHeader w:val="true"/>
        </w:trPr>
        <w:tc>
          <w:tcPr>
            <w:tcW w:w="3312"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Estado</w:t>
            </w:r>
          </w:p>
        </w:tc>
        <w:tc>
          <w:tcPr>
            <w:tcW w:w="3312"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Descripción</w:t>
            </w:r>
          </w:p>
        </w:tc>
        <w:tc>
          <w:tcPr>
            <w:tcW w:w="3312"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Condición de salida</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Borrador</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Contenido en elaboración y todavía no validado.</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Revisión interna completada.</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En revisión</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Documento sometido a revisión funcional o técnica.</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Observaciones resueltas.</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Aprobado</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Contenido autorizado para orientar construcción o evaluación.</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Cambio aprobado o nueva versión.</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Obsoleto</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Documento reemplazado por otra versión.</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Traslado a archivo histórico.</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Archivado</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Conservado como evidencia histórica.</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No se modifica.</w:t>
            </w:r>
          </w:p>
        </w:tc>
      </w:tr>
    </w:tbl>
    <w:p>
      <w:pPr>
        <w:pStyle w:val="Normal"/>
        <w:spacing w:before="0" w:after="0"/>
        <w:rPr/>
      </w:pPr>
      <w:r>
        <w:rPr/>
      </w:r>
    </w:p>
    <w:p>
      <w:pPr>
        <w:pStyle w:val="Normal"/>
        <w:rPr/>
      </w:pPr>
      <w:r>
        <w:rPr/>
        <w:t>La documentación se revisará en hitos mínimos: formulación, aprobación del alcance, cierre de diseño, liberación de versión candidata y entrega final. Las actualizaciones necesarias forman parte de la definición de terminado de cada historia o entrega.</w:t>
      </w:r>
    </w:p>
    <w:p>
      <w:pPr>
        <w:pStyle w:val="Heading1"/>
        <w:keepNext w:val="true"/>
        <w:pBdr>
          <w:bottom w:val="single" w:sz="18" w:space="1" w:color="39A900"/>
        </w:pBdr>
        <w:rPr/>
      </w:pPr>
      <w:bookmarkStart w:id="27" w:name="__RefHeading___Toc27210_2471710424"/>
      <w:bookmarkEnd w:id="27"/>
      <w:r>
        <w:rPr/>
        <w:t>11. Roles y responsabilidades</w:t>
      </w:r>
    </w:p>
    <w:tbl>
      <w:tblPr>
        <w:tblStyle w:val="TableGrid"/>
        <w:tblW w:w="99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4968"/>
        <w:gridCol w:w="4967"/>
      </w:tblGrid>
      <w:tr>
        <w:trPr>
          <w:tblHeader w:val="true"/>
        </w:trPr>
        <w:tc>
          <w:tcPr>
            <w:tcW w:w="4968"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Rol en SIGTM</w:t>
            </w:r>
          </w:p>
        </w:tc>
        <w:tc>
          <w:tcPr>
            <w:tcW w:w="4967"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Responsabilidades documentales</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Patrocinador / cliente — Taller de motocicletas (caso de estudio)</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Validar problema, objetivos, alcance y criterios de aceptación.</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Líder del proyecto y líder técnico — Harryson Cadavid</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Coordinar versiones y entregables. Mantener DOC-06: arquitectura, modelo de datos, API, seguridad y ADR.</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Responsable UX/UI y frontend — Dayana Pérez</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Mantener DOC-05: flujos, inventario de pantallas, sistema de diseño y evidencias de interfaz.</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Responsable de calidad y documentación — Jessica</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Mantener DOC-07 plan de pruebas, DOC-09 manual de usuario y el control de entregables TRZ-01.</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Analista (rol compartido) — Equipo SIGTM</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Mantener DOC-03 alcance, requisitos y catálogo de reglas de negocio, y DOC-04 historias de usuario.</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Instructor / evaluador — Juan Carlos Quintero Romero</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Verificar consistencia, evidencia, autoría y correspondencia entre la documentación y el producto.</w:t>
            </w:r>
          </w:p>
        </w:tc>
      </w:tr>
    </w:tbl>
    <w:p>
      <w:pPr>
        <w:pStyle w:val="Normal"/>
        <w:spacing w:before="0" w:after="0"/>
        <w:rPr/>
      </w:pPr>
      <w:r>
        <w:rPr/>
      </w:r>
    </w:p>
    <w:p>
      <w:pPr>
        <w:pStyle w:val="Heading1"/>
        <w:keepNext w:val="true"/>
        <w:pBdr>
          <w:bottom w:val="single" w:sz="18" w:space="1" w:color="39A900"/>
        </w:pBdr>
        <w:rPr/>
      </w:pPr>
      <w:bookmarkStart w:id="28" w:name="__RefHeading___Toc27212_2471710424"/>
      <w:bookmarkEnd w:id="28"/>
      <w:r>
        <w:rPr/>
        <w:t>12. Reglas de consistencia y no duplicación</w:t>
      </w:r>
    </w:p>
    <w:tbl>
      <w:tblPr>
        <w:tblStyle w:val="TableGrid"/>
        <w:tblW w:w="99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3312"/>
        <w:gridCol w:w="3312"/>
        <w:gridCol w:w="3312"/>
      </w:tblGrid>
      <w:tr>
        <w:trPr>
          <w:tblHeader w:val="true"/>
        </w:trPr>
        <w:tc>
          <w:tcPr>
            <w:tcW w:w="3312"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Información</w:t>
            </w:r>
          </w:p>
        </w:tc>
        <w:tc>
          <w:tcPr>
            <w:tcW w:w="3312"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Fuente principal en SIGTM</w:t>
            </w:r>
          </w:p>
        </w:tc>
        <w:tc>
          <w:tcPr>
            <w:tcW w:w="3312"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Dónde se referencia</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Problema y objetivos</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DOC-01 Formulación</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Alcance, sustentación y cierre.</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Interesados y responsables</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DOC-02 Gestión</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Formulación, requisitos y aceptación.</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Alcance y requisitos</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DOC-03 Alcance y requisitos</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Historias, arquitectura, pruebas y manuales.</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Matriz de permisos por rol</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frontend/src/utils/permisos.js</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DOC-03 y DOC-09; el backend la refleja en cada archivo de rutas.</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Reglas de negocio</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Catálogo RN en DOC-03</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Historias, arquitectura y casos de prueba.</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Transiciones de la orden</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src/services/ordenTrabajo.service.js (TRANSICIONES_VALIDAS)</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DOC-03, DOC-06 y frontend/src/utils/estadosOrden.js como espejo declarado.</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Modelo de datos</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prisma/schema.prisma</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DOC-06 y manual técnico.</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Pantallas y flujos</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DOC-05 + código de frontend/src/pages</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Historias, pruebas y manual de usuario.</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Endpoints</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openapi.yaml (pendiente) y src/routes/</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DOC-06 y manual técnico.</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Versiones</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CHANGELOG.md y etiquetas del repositorio</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Manual técnico e informe de cierre.</w:t>
            </w:r>
          </w:p>
        </w:tc>
      </w:tr>
    </w:tbl>
    <w:p>
      <w:pPr>
        <w:pStyle w:val="Normal"/>
        <w:spacing w:before="0" w:after="0"/>
        <w:rPr/>
      </w:pPr>
      <w:r>
        <w:rPr/>
      </w:r>
    </w:p>
    <w:tbl>
      <w:tblPr>
        <w:tblW w:w="9936" w:type="dxa"/>
        <w:jc w:val="center"/>
        <w:tblInd w:w="0" w:type="dxa"/>
        <w:tblLayout w:type="fixed"/>
        <w:tblCellMar>
          <w:top w:w="140" w:type="dxa"/>
          <w:left w:w="180" w:type="dxa"/>
          <w:bottom w:w="140" w:type="dxa"/>
          <w:right w:w="180" w:type="dxa"/>
        </w:tblCellMar>
        <w:tblLook w:val="04a0" w:noHBand="0" w:noVBand="1" w:firstColumn="1" w:lastRow="0" w:lastColumn="0" w:firstRow="1"/>
      </w:tblPr>
      <w:tblGrid>
        <w:gridCol w:w="9936"/>
      </w:tblGrid>
      <w:tr>
        <w:trPr/>
        <w:tc>
          <w:tcPr>
            <w:tcW w:w="9936" w:type="dxa"/>
            <w:tcBorders/>
            <w:shd w:fill="EAF4E4"/>
          </w:tcPr>
          <w:p>
            <w:pPr>
              <w:pStyle w:val="Normal"/>
              <w:widowControl/>
              <w:bidi w:val="0"/>
              <w:spacing w:lineRule="auto" w:line="268" w:before="0" w:after="120"/>
              <w:jc w:val="left"/>
              <w:rPr/>
            </w:pPr>
            <w:r>
              <w:rPr>
                <w:b/>
                <w:color w:val="2D58C8"/>
              </w:rPr>
              <w:t>Prohibición práctica: el catálogo de reglas de negocio y la matriz de permisos no se reescriben en cada documento. Se citan por identificador. Un valor que aparece dos veces se desincroniza tarde o temprano.</w:t>
            </w:r>
            <w:r>
              <w:rPr/>
            </w:r>
          </w:p>
        </w:tc>
      </w:tr>
    </w:tbl>
    <w:p>
      <w:pPr>
        <w:pStyle w:val="Normal"/>
        <w:spacing w:before="0" w:after="0"/>
        <w:rPr/>
      </w:pPr>
      <w:r>
        <w:rPr/>
      </w:r>
    </w:p>
    <w:p>
      <w:pPr>
        <w:pStyle w:val="Normal"/>
        <w:rPr/>
      </w:pPr>
      <w:r>
        <w:rPr/>
      </w:r>
      <w:r>
        <w:br w:type="page"/>
      </w:r>
    </w:p>
    <w:p>
      <w:pPr>
        <w:pStyle w:val="Heading1"/>
        <w:keepNext w:val="true"/>
        <w:pBdr>
          <w:bottom w:val="single" w:sz="18" w:space="1" w:color="39A900"/>
        </w:pBdr>
        <w:spacing w:before="0" w:after="100"/>
        <w:rPr/>
      </w:pPr>
      <w:bookmarkStart w:id="29" w:name="__RefHeading___Toc27214_2471710424"/>
      <w:bookmarkEnd w:id="29"/>
      <w:r>
        <w:rPr/>
        <w:t>13. Aplicación por tipo y madurez del proyecto</w:t>
      </w:r>
    </w:p>
    <w:p>
      <w:pPr>
        <w:pStyle w:val="Normal"/>
        <w:rPr/>
      </w:pPr>
      <w:r>
        <w:rPr/>
        <w:t>SIGTM es una aplicación web con backend REST y persistencia relacional. La profundidad documental se ajusta a ese tipo: se exigen contrato de API, autorización, responsive y operación; se declara como no aplicable la integración continua, con justificación registrada en el catálogo.</w:t>
      </w:r>
    </w:p>
    <w:tbl>
      <w:tblPr>
        <w:tblStyle w:val="TableGrid"/>
        <w:tblW w:w="99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4968"/>
        <w:gridCol w:w="4967"/>
      </w:tblGrid>
      <w:tr>
        <w:trPr>
          <w:tblHeader w:val="true"/>
        </w:trPr>
        <w:tc>
          <w:tcPr>
            <w:tcW w:w="4968"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Tipo de proyecto</w:t>
            </w:r>
          </w:p>
        </w:tc>
        <w:tc>
          <w:tcPr>
            <w:tcW w:w="4967"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Énfasis documental y correspondencia con SIGTM</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Aplicación web  ◄ tipo de SIGTM</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API, autenticación y autorización, responsive, accesibilidad y despliegue. Es el tipo principal del proyecto y determina la profundidad exigida.</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Aplicación móvil</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No corresponde. El acceso desde celular se resuelve con diseño responsive, no con una aplicación nativa.</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Aplicación de escritorio</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No corresponde.</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API o backend</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Corresponde parcialmente: el backend REST de diez módulos se documenta con este énfasis (contrato, seguridad, datos y operación).</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Sistema con IA</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No corresponde. No hay componentes de inteligencia artificial en el producto.</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Prototipo académico</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No corresponde. SIGTM es un producto funcional con persistencia, autorización y despliegue reproducible, no una maqueta.</w:t>
            </w:r>
          </w:p>
        </w:tc>
      </w:tr>
    </w:tbl>
    <w:p>
      <w:pPr>
        <w:pStyle w:val="Normal"/>
        <w:spacing w:before="0" w:after="0"/>
        <w:rPr/>
      </w:pPr>
      <w:r>
        <w:rPr/>
      </w:r>
    </w:p>
    <w:p>
      <w:pPr>
        <w:pStyle w:val="Heading2"/>
        <w:keepNext w:val="true"/>
        <w:rPr/>
      </w:pPr>
      <w:bookmarkStart w:id="30" w:name="__RefHeading___Toc27216_2471710424"/>
      <w:bookmarkEnd w:id="30"/>
      <w:r>
        <w:rPr/>
        <w:t>13.1 Niveles de madurez</w:t>
      </w:r>
    </w:p>
    <w:tbl>
      <w:tblPr>
        <w:tblStyle w:val="TableGrid"/>
        <w:tblW w:w="99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3312"/>
        <w:gridCol w:w="3312"/>
        <w:gridCol w:w="3312"/>
      </w:tblGrid>
      <w:tr>
        <w:trPr>
          <w:tblHeader w:val="true"/>
        </w:trPr>
        <w:tc>
          <w:tcPr>
            <w:tcW w:w="3312"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Nivel</w:t>
            </w:r>
          </w:p>
        </w:tc>
        <w:tc>
          <w:tcPr>
            <w:tcW w:w="3312"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Estado</w:t>
            </w:r>
          </w:p>
        </w:tc>
        <w:tc>
          <w:tcPr>
            <w:tcW w:w="3312"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Situación de SIGTM</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0</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No demostrable</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Superado.</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1</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Prototipo básico</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Superado.</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2</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Producto funcional</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Alcanzado: nueve módulos operativos, despliegue local reproducible con migraciones y datos semilla.</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3</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Producto profesional</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Objetivo de la entrega. Pendiente: pruebas automatizadas, manuales y contrato de API.</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4</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Producto avanzado</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Fuera del alcance. Declarado como trabajo futuro en DOC-10.</w:t>
            </w:r>
          </w:p>
        </w:tc>
      </w:tr>
    </w:tbl>
    <w:p>
      <w:pPr>
        <w:pStyle w:val="Normal"/>
        <w:spacing w:before="0" w:after="0"/>
        <w:rPr/>
      </w:pPr>
      <w:r>
        <w:rPr/>
      </w:r>
    </w:p>
    <w:p>
      <w:pPr>
        <w:pStyle w:val="Heading1"/>
        <w:keepNext w:val="true"/>
        <w:pBdr>
          <w:bottom w:val="single" w:sz="18" w:space="1" w:color="39A900"/>
        </w:pBdr>
        <w:rPr/>
      </w:pPr>
      <w:bookmarkStart w:id="31" w:name="__RefHeading___Toc27218_2471710424"/>
      <w:bookmarkEnd w:id="31"/>
      <w:r>
        <w:rPr/>
        <w:t>14. Ruta de implementación</w:t>
      </w:r>
    </w:p>
    <w:tbl>
      <w:tblPr>
        <w:tblStyle w:val="TableGrid"/>
        <w:tblW w:w="99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4968"/>
        <w:gridCol w:w="4967"/>
      </w:tblGrid>
      <w:tr>
        <w:trPr>
          <w:tblHeader w:val="true"/>
        </w:trPr>
        <w:tc>
          <w:tcPr>
            <w:tcW w:w="4968"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Bloque</w:t>
            </w:r>
          </w:p>
        </w:tc>
        <w:tc>
          <w:tcPr>
            <w:tcW w:w="4967"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7"/>
                <w:szCs w:val="22"/>
                <w:lang w:val="en-US" w:eastAsia="en-US" w:bidi="ar-SA"/>
              </w:rPr>
              <w:t>Resultado esperado</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Bloque 0. Cierre de seguridad</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Registro público sin escalada de rol, autorización por propiedad, proyección pública reducida, datos semilla y validación de configuración.</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Bloque 1. Módulo de usuarios</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Gestión de cuentas de personal y asignación de mecánico por selección, no por identificador manual.</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Bloque 2. Correo</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Confirmación de cuenta, restablecimiento de contraseña y notificación al cliente por cambio de estado.</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Bloque 3. Auditoría de estados</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Registro de quién cambió el estado de cada orden y cuándo.</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Bloque 4. Línea de tiempo y seguimiento</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Avance visible para el cliente y pantalla pública por código o QR.</w:t>
            </w:r>
          </w:p>
        </w:tc>
      </w:tr>
      <w:tr>
        <w:trPr/>
        <w:tc>
          <w:tcPr>
            <w:tcW w:w="4968"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Bloque 5. Evidencia fotográfica</w:t>
            </w:r>
          </w:p>
        </w:tc>
        <w:tc>
          <w:tcPr>
            <w:tcW w:w="4967"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Registro fotográfico por momento de la orden, visible para el cliente.</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Bloque 6. Coherencia y paginación</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Descuento automático de inventario, alineación de permisos y paginación de listados.</w:t>
            </w:r>
          </w:p>
        </w:tc>
      </w:tr>
      <w:tr>
        <w:trPr/>
        <w:tc>
          <w:tcPr>
            <w:tcW w:w="4968"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Bloque 7. Entrega</w:t>
            </w:r>
          </w:p>
        </w:tc>
        <w:tc>
          <w:tcPr>
            <w:tcW w:w="4967"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Manuales, pruebas, diagramas, README y sustentación.</w:t>
            </w:r>
          </w:p>
        </w:tc>
      </w:tr>
    </w:tbl>
    <w:p>
      <w:pPr>
        <w:pStyle w:val="Normal"/>
        <w:spacing w:before="0" w:after="0"/>
        <w:rPr/>
      </w:pPr>
      <w:r>
        <w:rPr/>
      </w:r>
    </w:p>
    <w:p>
      <w:pPr>
        <w:pStyle w:val="Heading2"/>
        <w:keepNext w:val="true"/>
        <w:rPr/>
      </w:pPr>
      <w:bookmarkStart w:id="32" w:name="__RefHeading___Toc27220_2471710424"/>
      <w:bookmarkEnd w:id="32"/>
      <w:r>
        <w:rPr/>
        <w:t>14.1 Orden recomendado de elaboración</w:t>
      </w:r>
    </w:p>
    <w:p>
      <w:pPr>
        <w:pStyle w:val="ListNumber"/>
        <w:numPr>
          <w:ilvl w:val="0"/>
          <w:numId w:val="4"/>
        </w:numPr>
        <w:rPr/>
      </w:pPr>
      <w:r>
        <w:rPr/>
        <w:t>Formulación y Constitución.</w:t>
      </w:r>
    </w:p>
    <w:p>
      <w:pPr>
        <w:pStyle w:val="ListNumber"/>
        <w:numPr>
          <w:ilvl w:val="0"/>
          <w:numId w:val="4"/>
        </w:numPr>
        <w:rPr/>
      </w:pPr>
      <w:r>
        <w:rPr/>
        <w:t>Gestión de Interesados y Proyecto.</w:t>
      </w:r>
    </w:p>
    <w:p>
      <w:pPr>
        <w:pStyle w:val="ListNumber"/>
        <w:numPr>
          <w:ilvl w:val="0"/>
          <w:numId w:val="4"/>
        </w:numPr>
        <w:rPr/>
      </w:pPr>
      <w:r>
        <w:rPr/>
        <w:t>Alcance y Requisitos.</w:t>
      </w:r>
    </w:p>
    <w:p>
      <w:pPr>
        <w:pStyle w:val="ListNumber"/>
        <w:numPr>
          <w:ilvl w:val="0"/>
          <w:numId w:val="4"/>
        </w:numPr>
        <w:rPr/>
      </w:pPr>
      <w:r>
        <w:rPr/>
        <w:t>Backlog, Historias y Casos de Uso.</w:t>
      </w:r>
    </w:p>
    <w:p>
      <w:pPr>
        <w:pStyle w:val="ListNumber"/>
        <w:numPr>
          <w:ilvl w:val="0"/>
          <w:numId w:val="4"/>
        </w:numPr>
        <w:rPr/>
      </w:pPr>
      <w:r>
        <w:rPr/>
        <w:t>Diseño UX/UI.</w:t>
      </w:r>
    </w:p>
    <w:p>
      <w:pPr>
        <w:pStyle w:val="ListNumber"/>
        <w:numPr>
          <w:ilvl w:val="0"/>
          <w:numId w:val="4"/>
        </w:numPr>
        <w:rPr/>
      </w:pPr>
      <w:r>
        <w:rPr/>
        <w:t>Arquitectura, Datos y Diseño Técnico.</w:t>
      </w:r>
    </w:p>
    <w:p>
      <w:pPr>
        <w:pStyle w:val="ListNumber"/>
        <w:numPr>
          <w:ilvl w:val="0"/>
          <w:numId w:val="4"/>
        </w:numPr>
        <w:rPr/>
      </w:pPr>
      <w:r>
        <w:rPr/>
        <w:t>Plan de Calidad y Pruebas.</w:t>
      </w:r>
    </w:p>
    <w:p>
      <w:pPr>
        <w:pStyle w:val="ListNumber"/>
        <w:numPr>
          <w:ilvl w:val="0"/>
          <w:numId w:val="4"/>
        </w:numPr>
        <w:rPr/>
      </w:pPr>
      <w:r>
        <w:rPr/>
        <w:t>Manual Técnico.</w:t>
      </w:r>
    </w:p>
    <w:p>
      <w:pPr>
        <w:pStyle w:val="ListNumber"/>
        <w:numPr>
          <w:ilvl w:val="0"/>
          <w:numId w:val="4"/>
        </w:numPr>
        <w:rPr/>
      </w:pPr>
      <w:r>
        <w:rPr/>
        <w:t>Manual de Usuario.</w:t>
      </w:r>
    </w:p>
    <w:p>
      <w:pPr>
        <w:pStyle w:val="ListNumber"/>
        <w:numPr>
          <w:ilvl w:val="0"/>
          <w:numId w:val="4"/>
        </w:numPr>
        <w:rPr/>
      </w:pPr>
      <w:r>
        <w:rPr/>
        <w:t>Informe de Cierre.</w:t>
      </w:r>
    </w:p>
    <w:p>
      <w:pPr>
        <w:pStyle w:val="Heading1"/>
        <w:keepNext w:val="true"/>
        <w:pBdr>
          <w:bottom w:val="single" w:sz="18" w:space="1" w:color="39A900"/>
        </w:pBdr>
        <w:rPr/>
      </w:pPr>
      <w:bookmarkStart w:id="33" w:name="__RefHeading___Toc27222_2471710424"/>
      <w:bookmarkEnd w:id="33"/>
      <w:r>
        <w:rPr/>
        <w:t>15. Criterios de adopción y verificación</w:t>
      </w:r>
    </w:p>
    <w:tbl>
      <w:tblPr>
        <w:tblStyle w:val="TableGrid"/>
        <w:tblW w:w="99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2484"/>
        <w:gridCol w:w="2484"/>
        <w:gridCol w:w="2484"/>
        <w:gridCol w:w="2483"/>
      </w:tblGrid>
      <w:tr>
        <w:trPr>
          <w:tblHeader w:val="true"/>
        </w:trPr>
        <w:tc>
          <w:tcPr>
            <w:tcW w:w="2484"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5"/>
                <w:szCs w:val="22"/>
                <w:lang w:val="en-US" w:eastAsia="en-US" w:bidi="ar-SA"/>
              </w:rPr>
              <w:t>N.°</w:t>
            </w:r>
          </w:p>
        </w:tc>
        <w:tc>
          <w:tcPr>
            <w:tcW w:w="2484"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5"/>
                <w:szCs w:val="22"/>
                <w:lang w:val="en-US" w:eastAsia="en-US" w:bidi="ar-SA"/>
              </w:rPr>
              <w:t>Criterio</w:t>
            </w:r>
          </w:p>
        </w:tc>
        <w:tc>
          <w:tcPr>
            <w:tcW w:w="2484"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5"/>
                <w:szCs w:val="22"/>
                <w:lang w:val="en-US" w:eastAsia="en-US" w:bidi="ar-SA"/>
              </w:rPr>
              <w:t>Cumple</w:t>
            </w:r>
          </w:p>
        </w:tc>
        <w:tc>
          <w:tcPr>
            <w:tcW w:w="2483"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5"/>
                <w:szCs w:val="22"/>
                <w:lang w:val="en-US" w:eastAsia="en-US" w:bidi="ar-SA"/>
              </w:rPr>
              <w:t>Observaciones</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1</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Cada información tiene una fuente principal identificada.</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Sí</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Registrado en la tabla de fuentes únicas de verdad.</w:t>
            </w:r>
          </w:p>
        </w:tc>
      </w:tr>
      <w:tr>
        <w:trPr/>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2</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Los documentos comparten códigos, versiones, estados y responsables.</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Sí</w:t>
            </w:r>
          </w:p>
        </w:tc>
        <w:tc>
          <w:tcPr>
            <w:tcW w:w="2483"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Controlado en TRZ-01.</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3</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Existe trazabilidad desde el problema hasta la evidencia.</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Parcial</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La cadena está definida y ejemplificada; falta completarla para todos los requisitos.</w:t>
            </w:r>
          </w:p>
        </w:tc>
      </w:tr>
      <w:tr>
        <w:trPr/>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4</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Los requisitos de calidad tienen métricas o métodos de verificación.</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Parcial</w:t>
            </w:r>
          </w:p>
        </w:tc>
        <w:tc>
          <w:tcPr>
            <w:tcW w:w="2483"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Definidos para autorización y máquina de estados; pendientes los de rendimiento.</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5</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Las reglas de negocio están centralizadas.</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Sí</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Catálogo RN en DOC-03; el código las implementa en la capa de servicio.</w:t>
            </w:r>
          </w:p>
        </w:tc>
      </w:tr>
      <w:tr>
        <w:trPr/>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6</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Los artefactos técnicos permanecen versionados en el repositorio.</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Sí</w:t>
            </w:r>
          </w:p>
        </w:tc>
        <w:tc>
          <w:tcPr>
            <w:tcW w:w="2483"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Migraciones, semilla y configuración versionadas.</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7</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La documentación coincide con la versión entregada.</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Sí</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Este documento corresponde al estado del repositorio al 07/09/2026.</w:t>
            </w:r>
          </w:p>
        </w:tc>
      </w:tr>
      <w:tr>
        <w:trPr/>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8</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Los elementos condicionados tienen aplicación o justificación.</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Sí</w:t>
            </w:r>
          </w:p>
        </w:tc>
        <w:tc>
          <w:tcPr>
            <w:tcW w:w="2483"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ART-07 declarado no aplicable con justificación escrita.</w:t>
            </w:r>
          </w:p>
        </w:tc>
      </w:tr>
      <w:tr>
        <w:trPr/>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9</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La documentación forma parte de la definición de terminado.</w:t>
            </w:r>
          </w:p>
        </w:tc>
        <w:tc>
          <w:tcPr>
            <w:tcW w:w="2484"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Sí</w:t>
            </w:r>
          </w:p>
        </w:tc>
        <w:tc>
          <w:tcPr>
            <w:tcW w:w="2483"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Cada bloque cierra actualizando TRZ-01.</w:t>
            </w:r>
          </w:p>
        </w:tc>
      </w:tr>
      <w:tr>
        <w:trPr/>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10</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El equipo puede explicar y defender la totalidad de los entregables.</w:t>
            </w:r>
          </w:p>
        </w:tc>
        <w:tc>
          <w:tcPr>
            <w:tcW w:w="2484"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5"/>
                <w:szCs w:val="22"/>
                <w:lang w:val="en-US" w:eastAsia="en-US" w:bidi="ar-SA"/>
              </w:rPr>
              <w:t>Sí</w:t>
            </w:r>
          </w:p>
        </w:tc>
        <w:tc>
          <w:tcPr>
            <w:tcW w:w="2483"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Declaración de autoría y uso de asistencia por IA en DOC-10.</w:t>
            </w:r>
          </w:p>
        </w:tc>
      </w:tr>
    </w:tbl>
    <w:p>
      <w:pPr>
        <w:pStyle w:val="Normal"/>
        <w:spacing w:before="0" w:after="0"/>
        <w:rPr/>
      </w:pPr>
      <w:r>
        <w:rPr/>
      </w:r>
    </w:p>
    <w:p>
      <w:pPr>
        <w:pStyle w:val="Heading1"/>
        <w:keepNext w:val="true"/>
        <w:pBdr>
          <w:bottom w:val="single" w:sz="18" w:space="1" w:color="39A900"/>
        </w:pBdr>
        <w:rPr/>
      </w:pPr>
      <w:bookmarkStart w:id="34" w:name="__RefHeading___Toc27224_2471710424"/>
      <w:bookmarkEnd w:id="34"/>
      <w:r>
        <w:rPr/>
        <w:t>Anexo A. Convenciones de identificación</w:t>
      </w:r>
    </w:p>
    <w:tbl>
      <w:tblPr>
        <w:tblStyle w:val="TableGrid"/>
        <w:tblW w:w="99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3312"/>
        <w:gridCol w:w="3312"/>
        <w:gridCol w:w="3312"/>
      </w:tblGrid>
      <w:tr>
        <w:trPr>
          <w:tblHeader w:val="true"/>
        </w:trPr>
        <w:tc>
          <w:tcPr>
            <w:tcW w:w="3312"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Elemento</w:t>
            </w:r>
          </w:p>
        </w:tc>
        <w:tc>
          <w:tcPr>
            <w:tcW w:w="3312"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Prefijo</w:t>
            </w:r>
          </w:p>
        </w:tc>
        <w:tc>
          <w:tcPr>
            <w:tcW w:w="3312" w:type="dxa"/>
            <w:tcBorders/>
            <w:shd w:fill="2D58C8"/>
            <w:vAlign w:val="center"/>
          </w:tcPr>
          <w:p>
            <w:pPr>
              <w:pStyle w:val="Normal"/>
              <w:widowControl/>
              <w:spacing w:before="0" w:after="120"/>
              <w:jc w:val="center"/>
              <w:rPr>
                <w:rFonts w:cs=""/>
                <w:kern w:val="0"/>
                <w:szCs w:val="22"/>
                <w:lang w:val="en-US" w:eastAsia="en-US" w:bidi="ar-SA"/>
              </w:rPr>
            </w:pPr>
            <w:r>
              <w:rPr>
                <w:rFonts w:cs=""/>
                <w:b/>
                <w:color w:val="FFFFFF"/>
                <w:kern w:val="0"/>
                <w:sz w:val="16"/>
                <w:szCs w:val="22"/>
                <w:lang w:val="en-US" w:eastAsia="en-US" w:bidi="ar-SA"/>
              </w:rPr>
              <w:t>Ejemplo real en SIGTM</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Problema</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PRO</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PRO-01 — Opacidad del estado de la reparación para el cliente.</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Objetivo</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OBJ</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OBJ-02 — Consulta autónoma del avance.</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Stakeholder</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STK</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STK-03 — Cliente del taller.</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Riesgo</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RSK</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RSK-01 — Pérdida de trabajo sin versionar en el repositorio.</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Requisito funcional</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RF</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RF-08 — Consultar una orden por su código público.</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Requisito no funcional</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RNF</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RNF-03 — La consulta pública no expone datos personales.</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Regla de negocio</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RN</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RN-02 — Un CLIENTE solo accede a recursos de su propio perfil.</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Historia de usuario</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HU</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HU-12 — Como cliente quiero ver el avance de mi moto sin llamar al taller.</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Caso de uso</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CU</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CU-06 — Seguimiento de la orden por código o QR.</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Pantalla</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UI</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UI-14 — Seguimiento público.</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Componente</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CMP</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CMP-05 — LineaTiempoOrden.jsx.</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Entidad / agregado</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ENT</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ENT-05 — OrdenTrabajo.</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Endpoint / contrato</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API</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API-17 — GET /api/ordenes/seguimiento/:codigo.</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Caso de prueba</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CP</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CP-31 — La respuesta pública omite datos personales.</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Defecto</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DEF</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DEF-02 — Ausencia de control de propiedad en rutas autenticadas (corregido).</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Decisión arquitectónica</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ADR</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ADR-002 — Autorización horizontal mediante middleware con resolutores por recurso.</w:t>
            </w:r>
          </w:p>
        </w:tc>
      </w:tr>
      <w:tr>
        <w:trPr/>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Evidencia</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EV</w:t>
            </w:r>
          </w:p>
        </w:tc>
        <w:tc>
          <w:tcPr>
            <w:tcW w:w="3312" w:type="dxa"/>
            <w:tcBorders/>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EV-22 — Captura de respuesta pública sin sesión.</w:t>
            </w:r>
          </w:p>
        </w:tc>
      </w:tr>
      <w:tr>
        <w:trPr/>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Entregable</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ENTG</w:t>
            </w:r>
          </w:p>
        </w:tc>
        <w:tc>
          <w:tcPr>
            <w:tcW w:w="3312" w:type="dxa"/>
            <w:tcBorders/>
            <w:shd w:fill="F5F7FA"/>
            <w:tcMar>
              <w:top w:w="70" w:type="dxa"/>
              <w:left w:w="85" w:type="dxa"/>
              <w:bottom w:w="70" w:type="dxa"/>
              <w:right w:w="85" w:type="dxa"/>
            </w:tcMar>
            <w:vAlign w:val="center"/>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ENTG-08 — Arquitectura, Datos y Diseño Técnico.</w:t>
            </w:r>
          </w:p>
        </w:tc>
      </w:tr>
    </w:tbl>
    <w:p>
      <w:pPr>
        <w:pStyle w:val="Normal"/>
        <w:spacing w:before="0" w:after="0"/>
        <w:rPr/>
      </w:pPr>
      <w:r>
        <w:rPr/>
      </w:r>
    </w:p>
    <w:p>
      <w:pPr>
        <w:pStyle w:val="Normal"/>
        <w:spacing w:before="360" w:after="120"/>
        <w:jc w:val="center"/>
        <w:rPr/>
      </w:pPr>
      <w:r>
        <w:rPr>
          <w:b/>
          <w:color w:val="39A900"/>
          <w:sz w:val="22"/>
        </w:rPr>
        <w:t>FIN DEL DOCUMENTO — SIGTM-AD-001 v1.0</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52" w:right="1152" w:gutter="0" w:header="720" w:top="1080"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6"/>
      </w:rPr>
      <w:t xml:space="preserve">Proyecto SIGTM · Ficha 3114227 · v1.0 (2026/09/07)          </w:t>
    </w:r>
    <w:r>
      <w:rPr>
        <w:sz w:val="18"/>
      </w:rPr>
      <w:t xml:space="preserve">Página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6"/>
      </w:rPr>
      <w:t>Documento marco de organización, trazabilidad y control documental</w:t>
      <w:tab/>
    </w:r>
    <w:r>
      <w:rPr>
        <w:sz w:val="18"/>
      </w:rPr>
      <w:t xml:space="preserve">Página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8" w:space="1" w:color="39A900"/>
      </w:pBdr>
      <w:jc w:val="left"/>
      <w:rPr/>
    </w:pPr>
    <w:r>
      <w:rPr>
        <w:b/>
        <w:color w:val="5F6368"/>
        <w:sz w:val="17"/>
      </w:rPr>
      <w:t>SENA – ADSO | SIGTM-AD-001 · Arquitectura documental del proyecto SIGTM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8" w:space="1" w:color="39A900"/>
      </w:pBdr>
      <w:jc w:val="left"/>
      <w:rPr/>
    </w:pPr>
    <w:r>
      <w:rPr>
        <w:b/>
        <w:color w:val="5F6368"/>
        <w:sz w:val="17"/>
      </w:rPr>
      <w:t>SENA – ADSO | Arquitectura documental para proyectos de software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9"/>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20"/>
      <w:jc w:val="lef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00"/>
      <w:outlineLvl w:val="0"/>
    </w:pPr>
    <w:rPr>
      <w:rFonts w:ascii="Calibri" w:hAnsi="Calibri" w:eastAsia="ＭＳ ゴシック" w:cs="" w:asciiTheme="majorHAnsi" w:cstheme="majorBidi" w:eastAsiaTheme="majorEastAsia" w:hAnsiTheme="majorHAnsi"/>
      <w:b/>
      <w:bCs/>
      <w:color w:val="1F3A5F"/>
      <w:sz w:val="34"/>
      <w:szCs w:val="28"/>
    </w:rPr>
  </w:style>
  <w:style w:type="paragraph" w:styleId="Heading2">
    <w:name w:val="Heading 2"/>
    <w:basedOn w:val="Normal"/>
    <w:next w:val="Normal"/>
    <w:link w:val="Heading2Char"/>
    <w:uiPriority w:val="9"/>
    <w:unhideWhenUsed/>
    <w:qFormat/>
    <w:rsid w:val="00fc693f"/>
    <w:pPr>
      <w:keepNext w:val="true"/>
      <w:keepLines/>
      <w:spacing w:before="160" w:after="100"/>
      <w:outlineLvl w:val="1"/>
    </w:pPr>
    <w:rPr>
      <w:rFonts w:ascii="Calibri" w:hAnsi="Calibri" w:eastAsia="ＭＳ ゴシック" w:cs="" w:asciiTheme="majorHAnsi" w:cstheme="majorBidi" w:eastAsiaTheme="majorEastAsia" w:hAnsiTheme="majorHAnsi"/>
      <w:b/>
      <w:bCs/>
      <w:color w:val="2D58C8"/>
      <w:sz w:val="26"/>
      <w:szCs w:val="26"/>
    </w:rPr>
  </w:style>
  <w:style w:type="paragraph" w:styleId="Heading3">
    <w:name w:val="Heading 3"/>
    <w:basedOn w:val="Normal"/>
    <w:next w:val="Normal"/>
    <w:link w:val="Heading3Char"/>
    <w:uiPriority w:val="9"/>
    <w:unhideWhenUsed/>
    <w:qFormat/>
    <w:rsid w:val="00fc693f"/>
    <w:pPr>
      <w:keepNext w:val="true"/>
      <w:keepLines/>
      <w:spacing w:before="160" w:after="100"/>
      <w:outlineLvl w:val="2"/>
    </w:pPr>
    <w:rPr>
      <w:rFonts w:ascii="Calibri" w:hAnsi="Calibri" w:eastAsia="ＭＳ ゴシック" w:cs="" w:asciiTheme="majorHAnsi" w:cstheme="majorBidi" w:eastAsiaTheme="majorEastAsia" w:hAnsiTheme="majorHAnsi"/>
      <w:b/>
      <w:bCs/>
      <w:color w:val="2D58C8"/>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itleSENA" w:customStyle="1">
    <w:name w:val="Title SENA"/>
    <w:qFormat/>
    <w:pPr>
      <w:widowControl/>
      <w:bidi w:val="0"/>
      <w:spacing w:lineRule="auto" w:line="276" w:before="0" w:after="200"/>
      <w:jc w:val="left"/>
    </w:pPr>
    <w:rPr>
      <w:rFonts w:ascii="Aptos Display" w:hAnsi="Aptos Display" w:eastAsia="Aptos Display" w:cs=""/>
      <w:b/>
      <w:color w:val="1F3A5F"/>
      <w:kern w:val="0"/>
      <w:sz w:val="56"/>
      <w:szCs w:val="22"/>
      <w:lang w:val="en-US" w:eastAsia="en-US" w:bidi="ar-SA"/>
    </w:rPr>
  </w:style>
  <w:style w:type="paragraph" w:styleId="SubtitleSENA" w:customStyle="1">
    <w:name w:val="Subtitle SENA"/>
    <w:qFormat/>
    <w:pPr>
      <w:widowControl/>
      <w:bidi w:val="0"/>
      <w:spacing w:lineRule="auto" w:line="276" w:before="0" w:after="120"/>
      <w:jc w:val="left"/>
    </w:pPr>
    <w:rPr>
      <w:rFonts w:ascii="Aptos" w:hAnsi="Aptos" w:eastAsia="Aptos" w:cs=""/>
      <w:b/>
      <w:color w:val="39A900"/>
      <w:kern w:val="0"/>
      <w:sz w:val="30"/>
      <w:szCs w:val="22"/>
      <w:lang w:val="en-US" w:eastAsia="en-US" w:bidi="ar-SA"/>
    </w:rPr>
  </w:style>
  <w:style w:type="paragraph" w:styleId="SectionTitle" w:customStyle="1">
    <w:name w:val="Section Title"/>
    <w:qFormat/>
    <w:pPr>
      <w:widowControl/>
      <w:bidi w:val="0"/>
      <w:spacing w:lineRule="auto" w:line="276" w:before="240" w:after="120"/>
      <w:jc w:val="left"/>
    </w:pPr>
    <w:rPr>
      <w:rFonts w:ascii="Aptos Display" w:hAnsi="Aptos Display" w:eastAsia="Aptos Display" w:cs=""/>
      <w:b/>
      <w:color w:val="1F3A5F"/>
      <w:kern w:val="0"/>
      <w:sz w:val="34"/>
      <w:szCs w:val="22"/>
      <w:lang w:val="en-US" w:eastAsia="en-US" w:bidi="ar-SA"/>
    </w:rPr>
  </w:style>
  <w:style w:type="paragraph" w:styleId="SubsectionTitle" w:customStyle="1">
    <w:name w:val="Subsection Title"/>
    <w:qFormat/>
    <w:pPr>
      <w:widowControl/>
      <w:bidi w:val="0"/>
      <w:spacing w:lineRule="auto" w:line="276" w:before="160" w:after="80"/>
      <w:jc w:val="left"/>
    </w:pPr>
    <w:rPr>
      <w:rFonts w:ascii="Aptos Display" w:hAnsi="Aptos Display" w:eastAsia="Aptos Display" w:cs=""/>
      <w:b/>
      <w:color w:val="2D58C8"/>
      <w:kern w:val="0"/>
      <w:sz w:val="25"/>
      <w:szCs w:val="22"/>
      <w:lang w:val="en-US" w:eastAsia="en-US" w:bidi="ar-SA"/>
    </w:rPr>
  </w:style>
  <w:style w:type="paragraph" w:styleId="TOC1">
    <w:name w:val="TOC 1"/>
    <w:basedOn w:val="Index"/>
    <w:pPr>
      <w:tabs>
        <w:tab w:val="clear" w:pos="720"/>
        <w:tab w:val="right" w:pos="9936" w:leader="dot"/>
      </w:tabs>
      <w:ind w:hanging="0" w:left="0"/>
    </w:pPr>
    <w:rPr/>
  </w:style>
  <w:style w:type="paragraph" w:styleId="TOC2">
    <w:name w:val="TOC 2"/>
    <w:basedOn w:val="Index"/>
    <w:pPr>
      <w:tabs>
        <w:tab w:val="clear" w:pos="720"/>
        <w:tab w:val="right" w:pos="9653"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ages>17</Pages>
  <Words>3281</Words>
  <Characters>20444</Characters>
  <CharactersWithSpaces>22978</CharactersWithSpaces>
  <Paragraphs>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Servicio Nacional de Aprendizaje - SENA</dc:creator>
  <dc:description>generated by python-docx</dc:description>
  <cp:keywords>ADSO SENA arquitectura documental software trazabilidad documentación</cp:keywords>
  <dc:language>en-US</dc:language>
  <cp:lastModifiedBy/>
  <dcterms:modified xsi:type="dcterms:W3CDTF">2026-07-22T20:08:46Z</dcterms:modified>
  <cp:revision>6</cp:revision>
  <dc:subject>Marco integrado de documentos, artefactos, trazabilidad y control documental</dc:subject>
  <dc:title>Arquitectura documental para proyectos de desarrollo de software ADSO SENA</dc:title>
</cp:coreProperties>
</file>

<file path=docProps/custom.xml><?xml version="1.0" encoding="utf-8"?>
<Properties xmlns="http://schemas.openxmlformats.org/officeDocument/2006/custom-properties" xmlns:vt="http://schemas.openxmlformats.org/officeDocument/2006/docPropsVTypes"/>
</file>