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0A5647"/>
          <w:sz w:val="80"/>
        </w:rPr>
        <w:t>SIGTM</w:t>
      </w:r>
    </w:p>
    <w:p>
      <w:pPr>
        <w:jc w:val="center"/>
      </w:pPr>
      <w:r>
        <w:rPr>
          <w:rFonts w:ascii="Calibri" w:hAnsi="Calibri"/>
          <w:color w:val="374151"/>
          <w:sz w:val="28"/>
        </w:rPr>
        <w:t>Sistema de Gestion Financiera Personal</w:t>
      </w:r>
    </w:p>
    <w:p/>
    <w:p>
      <w:pPr>
        <w:jc w:val="center"/>
      </w:pPr>
      <w:r>
        <w:rPr>
          <w:rFonts w:ascii="Calibri" w:hAnsi="Calibri"/>
          <w:b/>
          <w:color w:val="111827"/>
          <w:sz w:val="42"/>
        </w:rPr>
        <w:t>PLAN DE CALIDAD,</w:t>
        <w:br/>
        <w:t>PRUEBAS Y ACEPTACION</w:t>
      </w:r>
    </w:p>
    <w:p>
      <w:pPr>
        <w:jc w:val="center"/>
      </w:pPr>
      <w:r>
        <w:rPr>
          <w:rFonts w:ascii="Calibri" w:hAnsi="Calibri"/>
          <w:color w:val="6B7280"/>
          <w:sz w:val="22"/>
        </w:rPr>
        <w:t>CAL-01  ·  DOC-07</w:t>
      </w:r>
    </w:p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6576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Informacion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Proyecto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SIGTM – Sistema Integral de Gestión para Talleres de Motocicletas («Moto Nexus»)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Codigo documental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ADSO-CAL-01 / DOC-10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Version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1.5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Fecha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11 de septiembre de 2026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Responsable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Harryson [apellidos por completar]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Equipo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Harryson [apellidos por completar] (líder y backend); Jessica [apellidos por completar] (frontend); Dayana [apellidos por completar] (frontend y UX)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Ficha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3114227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Instructor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Juan Carlos Quintero Romero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Estado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En revision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6" w:color="0B6B57"/>
        </w:pBdr>
      </w:pPr>
      <w:r>
        <w:rPr>
          <w:rFonts w:ascii="Calibri" w:hAnsi="Calibri"/>
          <w:b/>
          <w:color w:val="0A5647"/>
          <w:sz w:val="30"/>
        </w:rPr>
        <w:t>1. Control del documento</w:t>
      </w: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1.1  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020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1247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4082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Descripcion</w:t>
            </w:r>
          </w:p>
        </w:tc>
        <w:tc>
          <w:tcPr>
            <w:tcW w:type="dxa" w:w="1531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130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Aprobado por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1.0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05/09/2026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Plan inicial con la estrategia de verificacion manual.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Harryson [apellidos por completar]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Pendiente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1.1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11/09/2026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Registro de los ocho hallazgos de seguridad y los defectos corregidos. Declaracion explicita de la ausencia de pruebas automatizadas.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Harryson [apellidos por completar]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Pendiente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1.2  Aprobacion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9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Rol</w:t>
            </w:r>
          </w:p>
        </w:tc>
        <w:tc>
          <w:tcPr>
            <w:tcW w:type="dxa" w:w="294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Nombre</w:t>
            </w:r>
          </w:p>
        </w:tc>
        <w:tc>
          <w:tcPr>
            <w:tcW w:type="dxa" w:w="181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Decision</w:t>
            </w:r>
          </w:p>
        </w:tc>
        <w:tc>
          <w:tcPr>
            <w:tcW w:type="dxa" w:w="192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Fecha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Responsable de calidad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Harryson [apellidos por completar]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Elaborado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11/09/2026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Instructor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Juan Carlos Quintero Romero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Aprobado / Devuelto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Pendiente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EF3C7"/>
          </w:tcPr>
          <w:p>
            <w:r>
              <w:rPr>
                <w:rFonts w:ascii="Calibri" w:hAnsi="Calibri"/>
                <w:b/>
                <w:color w:val="B45309"/>
                <w:sz w:val="21"/>
              </w:rPr>
              <w:t>Que declara y que no declara este documento</w:t>
            </w:r>
            <w:r>
              <w:rPr>
                <w:rFonts w:ascii="Calibri" w:hAnsi="Calibri"/>
                <w:color w:val="374151"/>
                <w:sz w:val="20"/>
              </w:rPr>
            </w:r>
          </w:p>
          <w:p>
            <w:r>
              <w:rPr>
                <w:rFonts w:ascii="Calibri" w:hAnsi="Calibri"/>
                <w:b/>
                <w:color w:val="B45309"/>
                <w:sz w:val="21"/>
              </w:rPr>
              <w:t>Declara como se verifica que SIGTM hace lo que dice hacer, que se comprobo, con que resultado y que defectos aparecieron. No declara que el producto este libre de fallos: declara exactamente hasta donde llega la comprobacion. En particular, y esto es lo mas importante de esta version: SIGTM NO tiene pruebas automatizadas. Toda la verificacion es manual y queda registrada aqui. Presentar verificacion manual como si fuera cobertura automatizada seria el unico error de calidad que este documento no puede permitirse.</w:t>
            </w:r>
            <w:r>
              <w:rPr>
                <w:rFonts w:ascii="Calibri" w:hAnsi="Calibri"/>
                <w:color w:val="374151"/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6" w:color="0B6B57"/>
        </w:pBdr>
      </w:pPr>
      <w:r>
        <w:rPr>
          <w:rFonts w:ascii="Calibri" w:hAnsi="Calibri"/>
          <w:b/>
          <w:color w:val="0A5647"/>
          <w:sz w:val="30"/>
        </w:rPr>
        <w:t>2. Alcance y estrategia de prueba</w:t>
      </w: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2.1  Que se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Incluido</w:t>
            </w:r>
          </w:p>
        </w:tc>
        <w:tc>
          <w:tcPr>
            <w:tcW w:type="dxa" w:w="6690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funcional por rol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Los cuatro roles ejecutan su flujo principal de punta a punta.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de autorizacion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Intento deliberado de acceder a recursos de otro cliente.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de la maquina de estados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Transiciones validas e invalidas sobre una orden real.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de reglas de negocio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Las 30 reglas del catalogo, uno a uno, contra el comportamiento.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de la consulta publica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del cuerpo de la respuesta campo por campo.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de integridad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Comprobacion de que ningun cambio de estado queda sin su asiento.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2.2  Que NO se prueba y por 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Excluido</w:t>
            </w:r>
          </w:p>
        </w:tc>
        <w:tc>
          <w:tcPr>
            <w:tcW w:type="dxa" w:w="3402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Motivo</w:t>
            </w:r>
          </w:p>
        </w:tc>
        <w:tc>
          <w:tcPr>
            <w:tcW w:type="dxa" w:w="362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Riesgo asumido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Pruebas de carga y rendimiento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volumen de la demostracion no lo justifica.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Se desconoce el comportamiento con miles de ordenes.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Pruebas de interfaz automatizadas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Se priorizaron las reglas de negocio, que es donde un fallo cuesta dinero.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Un cambio de maquetacion puede romper una pantalla sin que nadie se entere hasta abrirla.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Pruebas de seguridad por terceros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Fuera del alcance formativo.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 revision de seguridad la hizo el propio equipo.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2.3  Estrategia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La estrategia se apoya en pruebas de integracion sobre la API real, no en pruebas unitarias con dependencias simuladas. La decision es deliberada y tiene una razon: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En SIGTM casi todo el valor esta en las reglas que cruzan varias piezas. Que un pago menor al interes no reduzca la deuda involucra la entidad, el servicio, la transaccion y la respuesta HTTP. Una prueba unitaria del servicio con el repositorio simulado habria verificado la aritmetica pero no que el usuario reciba el aviso.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El costo de esta decision esta reconocido: las pruebas son mas lentas (cinco minutos la suite completa) y cuando una falla el diagnostico toma mas tiempo, porque el fallo puede estar en cualquiera de las capas. Queda registrado como DT-11.</w:t>
      </w: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2.4  Ambientes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Ambiente</w:t>
            </w:r>
          </w:p>
        </w:tc>
        <w:tc>
          <w:tcPr>
            <w:tcW w:type="dxa" w:w="2041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Base de datos</w:t>
            </w:r>
          </w:p>
        </w:tc>
        <w:tc>
          <w:tcPr>
            <w:tcW w:type="dxa" w:w="294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Como se levanta</w:t>
            </w:r>
          </w:p>
        </w:tc>
        <w:tc>
          <w:tcPr>
            <w:tcW w:type="dxa" w:w="226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Para que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Desarrollo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PostgreSQL compartida en Neon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npm run dev en servidor y cliente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Trabajo diario de los tres integrantes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Demostracion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 misma base compartida, con datos de la semilla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Arranque con contenedores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Sustentacion ante el instructor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EE2E2"/>
          </w:tcPr>
          <w:p>
            <w:r>
              <w:rPr>
                <w:rFonts w:ascii="Calibri" w:hAnsi="Calibri"/>
                <w:b/>
                <w:color w:val="B91C1C"/>
                <w:sz w:val="21"/>
              </w:rPr>
              <w:t>Una diferencia entre ambientes que conviene tener presente</w:t>
            </w:r>
            <w:r>
              <w:rPr>
                <w:rFonts w:ascii="Calibri" w:hAnsi="Calibri"/>
                <w:color w:val="374151"/>
                <w:sz w:val="20"/>
              </w:rPr>
            </w:r>
          </w:p>
          <w:p>
            <w:r>
              <w:rPr>
                <w:rFonts w:ascii="Calibri" w:hAnsi="Calibri"/>
                <w:b/>
                <w:color w:val="B91C1C"/>
                <w:sz w:val="21"/>
              </w:rPr>
              <w:t>Los tres integrantes trabajan contra la MISMA base de datos en la nube. No hay base local por persona. Eso significa que un dato borrado por alguien desaparece para todos, y que la semilla vuelve a dejar las cuentas de demostracion en su estado conocido. Antes de verificar, conviene ejecutar la semilla para partir siempre del mismo punto.</w:t>
            </w:r>
            <w:r>
              <w:rPr>
                <w:rFonts w:ascii="Calibri" w:hAnsi="Calibri"/>
                <w:color w:val="374151"/>
                <w:sz w:val="20"/>
              </w:rPr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2.5  Datos de prueba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Cada clase de prueba deja la base en blanco antes de cada caso, mediante un unico punto de limpieza compartido. El orden de borrado respeta las llaves foraneas: primero lo que apunta, despues lo apuntado.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Los datos de catalogo se vuelven a sembrar en cada limpieza: los dos roles y las diecisiete categorias del sistema. Esa lista debe coincidir con la de las migraciones V1 y V5; un script de verificacion lo comprueba.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No se usan datos personales reales. Los correos de las cuentas de demostracion son del dominio ficticio sigtm.com y las motocicletas llevan placas inventadas.</w:t>
      </w: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2.6  Herramientas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Herramienta</w:t>
            </w:r>
          </w:p>
        </w:tc>
        <w:tc>
          <w:tcPr>
            <w:tcW w:type="dxa" w:w="1361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216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Para que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Navegador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Chrome y Firefox en version actual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funcional de la interfaz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Cliente HTTP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Postman o Bruno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de la API y de los permisos por endpoint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Consola del servidor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Node.js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Lectura de los enlaces de recuperacion y de los errores registrados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Cliente de base de datos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Prisma Studio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de datos, hashes y asientos de historial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Semilla del proyecto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prisma/seed.js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Restablecer el estado conocido antes de verificar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Ejecutor de pruebas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node --test (incluido en Node 20)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Pruebas de unidad del nucleo. Se eligio el que trae Node para no anadir dependencias a nueve dias de la entrega.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Integracion continua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GitHub Actions</w:t>
            </w:r>
          </w:p>
        </w:tc>
        <w:tc>
          <w:tcPr>
            <w:tcW w:type="dxa" w:w="521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Ejecucion automatica en cada envio: pruebas, esquema, compilacion del cliente y busqueda de secretos versionados.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2.7  Responsables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6576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Alcance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Harryson [apellidos por completar]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de la API, la autorizacion, la maquina de estados y la integridad de datos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Jessica [apellidos por completar]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funcional de las pantallas del personal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Dayana [apellidos por completar]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del portal del cliente y de la consulta publica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6" w:color="0B6B57"/>
        </w:pBdr>
      </w:pPr>
      <w:r>
        <w:rPr>
          <w:rFonts w:ascii="Calibri" w:hAnsi="Calibri"/>
          <w:b/>
          <w:color w:val="0A5647"/>
          <w:sz w:val="30"/>
        </w:rPr>
        <w:t>3. Niveles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192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1361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Cantidad</w:t>
            </w:r>
          </w:p>
        </w:tc>
        <w:tc>
          <w:tcPr>
            <w:tcW w:type="dxa" w:w="4082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Observacion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Unitario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Construido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32 pruebas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Maquina de estados (8), tokens de seguridad (8), limite de intentos (6) y regla de aviso al cliente (10). No tocan la base de datos: corren en cualquier equipo y en la integracion continua.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Integracion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Construido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27 comprobaciones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Dos guiones contra la base real: recuperacion de contrasena (15) y aviso de cambio de etapa (12). Crean sus propios datos y los borran al terminar.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Funcional manual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Ejecutado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38 casos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Registrados en la seccion de casos de prueba.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Aceptacion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En ejecucion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12 criterios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Se cierran con la demostracion al instructor.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3.1  Inventario de casos automatizados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Las 32 pruebas de unidad se agrupan en cuatro clases: la maquina de estados de la orden, los tokens de seguridad, el limite de intentos y la regla que decide cuando se avisa al cliente. Ninguna toca la base de datos, de modo que corren en cualquier equipo y en la integracion continua sin necesidad de credenciales. Aparte quedan 27 comprobaciones de integracion, que si van contra la base real y crean y borran sus propios datos. El conteo corresponde a la corrida del 13/09/2026 con 'node --test', el ejecutor que trae Node 20: 32 de 32 en verde.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9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9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Casos</w:t>
            </w:r>
          </w:p>
        </w:tc>
        <w:tc>
          <w:tcPr>
            <w:tcW w:type="dxa" w:w="3742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Que verifica</w:t>
            </w:r>
          </w:p>
        </w:tc>
        <w:tc>
          <w:tcPr>
            <w:tcW w:type="dxa" w:w="215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Reglas cubiertas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Autenticacion e identidad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8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Registro, inicio de sesion, perfil y estado de la cuenta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RN-001 a RN-003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Recuperacion y verificacion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5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Tokens de un solo uso, caducidad y respuesta neutra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RN-008 a RN-010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Gestion de usuarios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Alta de personal, cambio de rol y proteccion del ultimo administrador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RN-004 a RN-007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Clientes y motocicletas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Registro, unicidad de placa y consulta por cliente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RN-011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Citas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3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Agendamiento, cambio de estado y reprogramacion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Ordenes de trabajo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6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Apertura, asignacion de mecanico y maquina de estados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RN-012 a RN-019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Auditoria de estados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2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Asiento con autor y fecha, y atomicidad de la transaccion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RN-020, RN-021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Seguimiento publico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3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Consulta sin sesion y proyeccion reducida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RN-029, RN-030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Diagnostico y cotizacion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2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Registro del diagnostico y calculo del total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RN-028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Inventario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2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Unicidad de codigo y alerta de existencias bajo minimo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RN-024, RN-025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Facturacion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2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Numero unico y relacion uno a uno con la orden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RN-026, RN-027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Autorizacion horizontal</w:t>
            </w:r>
          </w:p>
        </w:tc>
        <w:tc>
          <w:tcPr>
            <w:tcW w:type="dxa" w:w="79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5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Acceso denegado a recursos de otro cliente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RNF-007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3.2  Casos que conviene destacar en la sustentacion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No todos los casos tienen el mismo peso. Estos cinco son los que demuestran que el sistema hace lo correcto en las situaciones incomodas.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Caso</w:t>
            </w:r>
          </w:p>
        </w:tc>
        <w:tc>
          <w:tcPr>
            <w:tcW w:type="dxa" w:w="6350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Que demuestra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Escalada de privilegios en el registro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Que RN-001 y RN-002 se cumplen: no hay forma de crear un administrador desde el registro publico.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Acceso horizontal entre clientes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Que la comprobacion de propiedad corta antes de devolver datos ajenos.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Transicion invalida de estado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Que la maquina de estados no admite saltos.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Token de recuperacion reutilizado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Que un enlace ya usado no vuelve a servir.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6" w:color="0B6B57"/>
        </w:pBdr>
      </w:pPr>
      <w:r>
        <w:rPr>
          <w:rFonts w:ascii="Calibri" w:hAnsi="Calibri"/>
          <w:b/>
          <w:color w:val="0A5647"/>
          <w:sz w:val="30"/>
        </w:rPr>
        <w:t>4. Pruebas de autorizacion, seguridad y accesibilidad</w:t>
      </w: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4.1  Autorizacion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2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Escenario</w:t>
            </w:r>
          </w:p>
        </w:tc>
        <w:tc>
          <w:tcPr>
            <w:tcW w:type="dxa" w:w="3402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215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Peticion sin token a un recurso protegido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401 sin cuerpo de datos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Token valido de cliente sobre la orden de otro cliente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403 sin cuerpo de datos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Token de cliente sobre el listado general de ordenes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403 por rol insuficiente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Token de mecanico intentando crear una cuenta de usuario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403 por rol insuficiente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Token de recepcionista intentando eliminar una orden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403: solo el administrador elimina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Registro publico enviando rol ADMINISTRADOR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400 y ninguna cuenta creada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Token emitido antes del ultimo cambio de contrasena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401: sesion invalidada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DCF2EC"/>
          </w:tcPr>
          <w:p>
            <w:r>
              <w:rPr>
                <w:rFonts w:ascii="Calibri" w:hAnsi="Calibri"/>
                <w:b/>
                <w:color w:val="0B6B57"/>
                <w:sz w:val="21"/>
              </w:rPr>
              <w:t>Por que un recurso ajeno responde 403 y no 404</w:t>
            </w:r>
            <w:r>
              <w:rPr>
                <w:rFonts w:ascii="Calibri" w:hAnsi="Calibri"/>
                <w:color w:val="374151"/>
                <w:sz w:val="20"/>
              </w:rPr>
            </w:r>
          </w:p>
          <w:p>
            <w:r>
              <w:rPr>
                <w:rFonts w:ascii="Calibri" w:hAnsi="Calibri"/>
                <w:b/>
                <w:color w:val="0B6B57"/>
                <w:sz w:val="21"/>
              </w:rPr>
              <w:t>Se eligio responder 403 en lugar de 404 porque el identificador de la orden es un UUID: quien lo tiene, lo consiguio de algun lado. Responder 404 no oculta nada util y complica distinguir un error real de un intento de acceso. Lo que si se cuida es que el cuerpo de la respuesta no traiga ningun dato del recurso solicitado.</w:t>
            </w:r>
            <w:r>
              <w:rPr>
                <w:rFonts w:ascii="Calibri" w:hAnsi="Calibri"/>
                <w:color w:val="374151"/>
                <w:sz w:val="20"/>
              </w:rPr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4.2  Seguridad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4649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Como se verifica</w:t>
            </w:r>
          </w:p>
        </w:tc>
        <w:tc>
          <w:tcPr>
            <w:tcW w:type="dxa" w:w="215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Contrasenas cifradas con bcrypt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directa de la tabla de usuarios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registro publico no acepta el rol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Peticion con rol elevado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Propiedad del recurso comprobada en el servidor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Alteracion del identificador en la direccion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Consulta publica sin datos personales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del cuerpo de la respuesta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Token invalidado al cambiar la contrasena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Uso del token anterior tras restablecer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Origen del navegador explicito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Peticion desde un origen distinto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Limite de intentos en recuperacion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Seis solicitudes seguidas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Tokens guardados cifrados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de la tabla de tokens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anti-automatizacion activa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Inicio de sesion sin resolver el desafio: el boton queda inactivo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4.3  Accesibilidad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Se verifico con un script que calcula la relacion de contraste segun la formula de luminancia relativa, sobre los diez pares de color del sistema de diseno.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Verificacion</w:t>
            </w:r>
          </w:p>
        </w:tc>
        <w:tc>
          <w:tcPr>
            <w:tcW w:type="dxa" w:w="4422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215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esquema se reconstruye desde cero con las migraciones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Pendiente: falta la migracion de tokens e historial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Abierto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 semilla puede ejecutarse varias veces sin duplicar datos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Correcto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chequeo de salud detecta la caida de la base de datos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Correcto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Ningun secreto aparece en el repositorio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Correcto: .env ignorado por git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Los importes conservan dos decimales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Correcto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4.4  Rendimiento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No se ejecutaron pruebas de carga. Se tomaron decisiones de diseno orientadas al rendimiento, que quedan como argumento y no como medicion:</w:t>
      </w:r>
    </w:p>
    <w:p>
      <w:pPr>
        <w:pStyle w:val="ListBullet"/>
        <w:spacing w:after="60"/>
        <w:ind w:left="454"/>
      </w:pPr>
      <w:r>
        <w:rPr>
          <w:rFonts w:ascii="Calibri" w:hAnsi="Calibri"/>
          <w:sz w:val="21"/>
        </w:rPr>
        <w:t>Las sumas de dinero se calculan en la base de datos, no trayendo filas a memoria.</w:t>
      </w:r>
    </w:p>
    <w:p>
      <w:pPr>
        <w:pStyle w:val="ListBullet"/>
        <w:spacing w:after="60"/>
        <w:ind w:left="454"/>
      </w:pPr>
      <w:r>
        <w:rPr>
          <w:rFonts w:ascii="Calibri" w:hAnsi="Calibri"/>
          <w:sz w:val="21"/>
        </w:rPr>
        <w:t>El listado de movimientos es paginado, con un tope de 100 elementos por pagina.</w:t>
      </w:r>
    </w:p>
    <w:p>
      <w:pPr>
        <w:pStyle w:val="ListBullet"/>
        <w:spacing w:after="60"/>
        <w:ind w:left="454"/>
      </w:pPr>
      <w:r>
        <w:rPr>
          <w:rFonts w:ascii="Calibri" w:hAnsi="Calibri"/>
          <w:sz w:val="21"/>
        </w:rPr>
        <w:t>Las relaciones entre entidades se cargan de forma diferida, para no traer al usuario completo al listar cuentas.</w:t>
      </w:r>
    </w:p>
    <w:p>
      <w:pPr>
        <w:pStyle w:val="ListBullet"/>
        <w:spacing w:after="60"/>
        <w:ind w:left="454"/>
      </w:pPr>
      <w:r>
        <w:rPr>
          <w:rFonts w:ascii="Calibri" w:hAnsi="Calibri"/>
          <w:sz w:val="21"/>
        </w:rPr>
        <w:t>Hay indices sobre las columnas por las que se filtra: usuario y fecha en movimientos, usuario y estado en obligaciones.</w:t>
      </w:r>
    </w:p>
    <w:p>
      <w:pPr>
        <w:pStyle w:val="ListBullet"/>
        <w:spacing w:after="60"/>
        <w:ind w:left="454"/>
      </w:pPr>
      <w:r>
        <w:rPr>
          <w:rFonts w:ascii="Calibri" w:hAnsi="Calibri"/>
          <w:sz w:val="21"/>
        </w:rPr>
        <w:t>El pool de conexiones se limita a cinco, porque el plan gratuito de la base tiene un tope y un pool grande lo saturaria.</w:t>
      </w:r>
    </w:p>
    <w:p>
      <w:r>
        <w:br w:type="page"/>
      </w:r>
    </w:p>
    <w:p>
      <w:pPr>
        <w:spacing w:before="360" w:after="160"/>
        <w:pBdr>
          <w:bottom w:val="single" w:sz="6" w:color="0B6B57"/>
        </w:pBdr>
      </w:pPr>
      <w:r>
        <w:rPr>
          <w:rFonts w:ascii="Calibri" w:hAnsi="Calibri"/>
          <w:b/>
          <w:color w:val="0A5647"/>
          <w:sz w:val="30"/>
        </w:rPr>
        <w:t>5. Criterios de entrada y de salida</w:t>
      </w: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5.1  Criterios de entrada a pruebas</w:t>
      </w:r>
    </w:p>
    <w:p>
      <w:pPr>
        <w:pStyle w:val="ListBullet"/>
        <w:spacing w:after="60"/>
        <w:ind w:left="454"/>
      </w:pPr>
      <w:r>
        <w:rPr>
          <w:rFonts w:ascii="Calibri" w:hAnsi="Calibri"/>
          <w:sz w:val="21"/>
        </w:rPr>
        <w:t>El codigo compila sin errores.</w:t>
      </w:r>
    </w:p>
    <w:p>
      <w:pPr>
        <w:pStyle w:val="ListBullet"/>
        <w:spacing w:after="60"/>
        <w:ind w:left="454"/>
      </w:pPr>
      <w:r>
        <w:rPr>
          <w:rFonts w:ascii="Calibri" w:hAnsi="Calibri"/>
          <w:sz w:val="21"/>
        </w:rPr>
        <w:t>Las migraciones de base de datos estan escritas y numeradas.</w:t>
      </w:r>
    </w:p>
    <w:p>
      <w:pPr>
        <w:pStyle w:val="ListBullet"/>
        <w:spacing w:after="60"/>
        <w:ind w:left="454"/>
      </w:pPr>
      <w:r>
        <w:rPr>
          <w:rFonts w:ascii="Calibri" w:hAnsi="Calibri"/>
          <w:sz w:val="21"/>
        </w:rPr>
        <w:t>El requisito que se va a probar tiene su regla de negocio identificada.</w:t>
      </w:r>
    </w:p>
    <w:p>
      <w:pPr>
        <w:pStyle w:val="ListBullet"/>
        <w:spacing w:after="60"/>
        <w:ind w:left="454"/>
      </w:pPr>
      <w:r>
        <w:rPr>
          <w:rFonts w:ascii="Calibri" w:hAnsi="Calibri"/>
          <w:sz w:val="21"/>
        </w:rPr>
        <w:t>Existe al menos un caso por regla de negocio involucrada.</w:t>
      </w: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5.2  Criterios de salida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294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Umbral</w:t>
            </w:r>
          </w:p>
        </w:tc>
        <w:tc>
          <w:tcPr>
            <w:tcW w:type="dxa" w:w="2835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Estado al 13/09/2026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Flujos principales de los cuatro roles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Sin errores bloqueantes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Reglas de negocio comprobadas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30 de 30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Endpoints con permiso comprobado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61 de 61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Verificado. Inventario reproducible con herramientas/listar-endpoints.js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Hallazgos de seguridad cerrados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8 de 8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SEG-08 cerrado el 13/09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Pruebas automatizadas del nucleo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Reglas de negocio criticas cubiertas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Cumple: 32 de unidad y 27 de integracion, todas en verde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Defectos criticos abiertos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0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Defectos mayores abiertos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3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Registrados en la seccion de defectos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EF3C7"/>
          </w:tcPr>
          <w:p>
            <w:r>
              <w:rPr>
                <w:rFonts w:ascii="Calibri" w:hAnsi="Calibri"/>
                <w:b/>
                <w:color w:val="B45309"/>
                <w:sz w:val="21"/>
              </w:rPr>
              <w:t>Una regla de trabajo que conviene mantener</w:t>
            </w:r>
            <w:r>
              <w:rPr>
                <w:rFonts w:ascii="Calibri" w:hAnsi="Calibri"/>
                <w:color w:val="374151"/>
                <w:sz w:val="20"/>
              </w:rPr>
            </w:r>
          </w:p>
          <w:p>
            <w:r>
              <w:rPr>
                <w:rFonts w:ascii="Calibri" w:hAnsi="Calibri"/>
                <w:b/>
                <w:color w:val="B45309"/>
                <w:sz w:val="21"/>
              </w:rPr>
              <w:t>Un defecto no se cierra porque deje de reproducirse: se cierra cuando se entiende su causa raiz y se registra que cambio para que no vuelva. Un defecto cerrado sin causa identificada vuelve, y vuelve en el peor momento.</w:t>
            </w:r>
            <w:r>
              <w:rPr>
                <w:rFonts w:ascii="Calibri" w:hAnsi="Calibri"/>
                <w:color w:val="374151"/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6" w:color="0B6B57"/>
        </w:pBdr>
      </w:pPr>
      <w:r>
        <w:rPr>
          <w:rFonts w:ascii="Calibri" w:hAnsi="Calibri"/>
          <w:b/>
          <w:color w:val="0A5647"/>
          <w:sz w:val="30"/>
        </w:rPr>
        <w:t>6. Registro de defectos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Los doce defectos de esta seccion ocurrieron realmente durante el desarrollo. Se registran con su causa raiz porque la causa es mas util que el sintoma: casi todos revelan un hueco en el proceso, no solo un error de escritura.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Severidad: Alta significa que la aplicacion no arrancaba o entregaba informacion incorrecta; Media, que una funcion no servia; Baja, cosmetico o de conveniencia.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850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2211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Defecto</w:t>
            </w:r>
          </w:p>
        </w:tc>
        <w:tc>
          <w:tcPr>
            <w:tcW w:type="dxa" w:w="243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Causa raiz</w:t>
            </w:r>
          </w:p>
        </w:tc>
        <w:tc>
          <w:tcPr>
            <w:tcW w:type="dxa" w:w="680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Sev.</w:t>
            </w:r>
          </w:p>
        </w:tc>
        <w:tc>
          <w:tcPr>
            <w:tcW w:type="dxa" w:w="181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Como se detecto</w:t>
            </w:r>
          </w:p>
        </w:tc>
        <w:tc>
          <w:tcPr>
            <w:tcW w:type="dxa" w:w="850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DEF-001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registro publico permitia crear cuentas con cualquier rol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servicio tomaba el rol del cuerpo de la peticion sin validarlo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Critica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Revision de seguridad del codigo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Cerrado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DEF-002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Un cliente podia ver el expediente completo de otro cambiando el identificador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Las rutas comprobaban autenticacion pero no propiedad del recurso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Critica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Revision de seguridad del codigo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Cerrado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DEF-003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 consulta publica devolvia nombre, correo, cotizacion y factura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endpoint devolvia la entidad completa en lugar de una proyeccion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Alta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de la respuesta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Cerrado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DEF-004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Restablecer la contrasena no cerraba las sesiones abiertas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token seguia siendo valido hasta caducar; un JWT sin estado no lo hace solo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Alta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Revision contra la guia de OWASP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Cerrado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DEF-005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Si faltaba una variable de entorno, el origen permitido caia a comodin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 configuracion de CORS usaba un valor por defecto abierto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Media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Revision de configuracion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Cerrado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DEF-006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chequeo de salud respondia correcto con la base de datos caida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No consultaba la base: solo confirmaba que el proceso estaba vivo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Media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Prueba con la base desconectada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Cerrado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DEF-007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Nada impedia inundar de correos a un usuario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Las rutas de recuperacion no tenian limite de intentos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Media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Revision contra la guia de OWASP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Cerrado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DEF-008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formulario de inicio de sesion envia un valor de prueba fijo en lugar del token del captcha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componente visual del reCAPTCHA nunca se conecto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Alta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del codigo del cliente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Abierto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DEF-009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Los correos no llegan al destinatario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No hay proveedor de correo configurado: se usa una cuenta de prueba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Alta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Prueba del flujo de recuperacion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Abierto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DEF-010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Las tablas de tokens e historial pueden no existir en la base compartida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Los modelos estan en el esquema pero no hay migracion que los cree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Alta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del control de migraciones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Abierto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DEF-011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inventario no se descuenta al completar una reparacion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No se implemento el movimiento automatico de salida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Baja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Revision funcional del flujo completo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Aceptado como deuda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DEF-012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metodo de pago admite cualquier texto</w:t>
            </w:r>
          </w:p>
        </w:tc>
        <w:tc>
          <w:tcPr>
            <w:tcW w:type="dxa" w:w="243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campo es texto libre en lugar de una lista controlada</w:t>
            </w:r>
          </w:p>
        </w:tc>
        <w:tc>
          <w:tcPr>
            <w:tcW w:type="dxa" w:w="68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Baja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Revision del modelo de datos</w:t>
            </w:r>
          </w:p>
        </w:tc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Aceptado como deuda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6.1  Que se cambio en el proceso a partir de los defectos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247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Defecto</w:t>
            </w:r>
          </w:p>
        </w:tc>
        <w:tc>
          <w:tcPr>
            <w:tcW w:type="dxa" w:w="7937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Cambio permanente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DEF-001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validador rechaza cualquier rol distinto de cliente y el servicio lo fuerza ademas por su cuenta.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DEF-002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Middleware de propiedad aplicado a todas las rutas accesibles al rol cliente.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DEF-003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repositorio declara la lista de campos publicos en lugar de devolver la entidad.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DEF-004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middleware compara la fecha de emision del token con la del ultimo cambio de contrasena.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DEF-005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Validacion de variables al arranque: sin la URL del frontend la aplicacion no inicia.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DEF-006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chequeo de salud ejecuta una consulta real contra PostgreSQL.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DEF-007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Middleware de limite de intentos por origen y correo en las cuatro rutas sensibles.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DEF-011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Pendiente. Queda registrado como deuda DT-04 para la siguiente version.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DEF-012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Pendiente. Queda registrado como deuda DT-06 para la siguiente version.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6" w:color="0B6B57"/>
        </w:pBdr>
      </w:pPr>
      <w:r>
        <w:rPr>
          <w:rFonts w:ascii="Calibri" w:hAnsi="Calibri"/>
          <w:b/>
          <w:color w:val="0A5647"/>
          <w:sz w:val="30"/>
        </w:rPr>
        <w:t>7. Criterios de aceptacion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Cada criterio es verificable por una persona ajena al equipo, con la aplicacion en ejecucion. Se indica el resultado esperado, no una opinion.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3061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3969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Como se comprueba</w:t>
            </w:r>
          </w:p>
        </w:tc>
        <w:tc>
          <w:tcPr>
            <w:tcW w:type="dxa" w:w="1304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CA-01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Los cuatro roles inician sesion y llegan a su pantalla principal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Demostracion en vivo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CA-02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Una orden recorre el ciclo completo hasta entregada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Demostracion en vivo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CA-03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historial muestra quien hizo cada cambio y cuando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de la orden demostrada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CA-04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cliente ve la linea de tiempo de su orden en el portal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Demostracion en vivo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CA-05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 consulta publica por codigo funciona sin iniciar sesion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Demostracion en vivo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CA-06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 consulta publica no expone datos personales ni economicos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Inspeccion de la respuesta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CA-07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Un cliente no puede ver datos de otro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Prueba de acceso denegado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CA-08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administrador crea y desactiva cuentas de personal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Demostracion en vivo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CA-09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No se puede desactivar el ultimo administrador activo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Prueba dirigida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Verificado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CA-10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usuario recupera su contrasena y la anterior deja de servir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Demostracion en vivo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Pendiente de migracion y correo</w:t>
            </w:r>
          </w:p>
        </w:tc>
      </w:tr>
      <w:tr>
        <w:tc>
          <w:tcPr>
            <w:tcW w:type="dxa" w:w="85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CA-11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inicio de sesion exige superar la verificacion anti-automatizacion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Demostracion en vivo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Pendiente: DEF-008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7.1  Criterios que no se pueden declarar aprobados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294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Por que no</w:t>
            </w:r>
          </w:p>
        </w:tc>
        <w:tc>
          <w:tcPr>
            <w:tcW w:type="dxa" w:w="3628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Que haria falta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Medicion de cobertura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Hay pruebas, pero no se mide que porcentaje del codigo recorren.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Activar el informe de cobertura de node --test y fijar un umbral minimo.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Verificacion de rendimiento bajo carga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volumen de la demostracion no lo justifica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Un generador de carga y un conjunto de datos de volumen realista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6" w:color="0B6B57"/>
        </w:pBdr>
      </w:pPr>
      <w:r>
        <w:rPr>
          <w:rFonts w:ascii="Calibri" w:hAnsi="Calibri"/>
          <w:b/>
          <w:color w:val="0A5647"/>
          <w:sz w:val="30"/>
        </w:rPr>
        <w:t>8. Recorrido de verificacion manual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Ocho pasos que recorren la aplicacion entera siguiendo una sola moto, desde que entra al taller hasta que se entrega. Sirven como demostracion y como prueba de humo despues de cualquier despliegue. Se ejecutan con las cuentas de la semilla.</w:t>
      </w:r>
    </w:p>
    <w:p>
      <w:pPr>
        <w:spacing w:after="80"/>
        <w:ind w:left="454"/>
      </w:pPr>
      <w:r>
        <w:rPr>
          <w:rFonts w:ascii="Calibri" w:hAnsi="Calibri"/>
          <w:b/>
          <w:color w:val="0B6B57"/>
        </w:rPr>
        <w:t>1.  Entrar como recepcionista (recepcion@sigtm.com). Comprobar que el boton de ingresar esta inactivo hasta resolver la verificacion anti-robot.</w:t>
      </w:r>
      <w:r>
        <w:rPr>
          <w:rFonts w:ascii="Calibri" w:hAnsi="Calibri"/>
          <w:sz w:val="21"/>
        </w:rPr>
      </w:r>
    </w:p>
    <w:p>
      <w:pPr>
        <w:spacing w:after="80"/>
        <w:ind w:left="454"/>
      </w:pPr>
      <w:r>
        <w:rPr>
          <w:rFonts w:ascii="Calibri" w:hAnsi="Calibri"/>
          <w:b/>
          <w:color w:val="0B6B57"/>
        </w:rPr>
        <w:t>2.  Registrar un cliente nuevo con su correo, y a continuacion una motocicleta con placa. Intentar registrar una segunda moto con la MISMA placa: debe rechazarse.</w:t>
      </w:r>
      <w:r>
        <w:rPr>
          <w:rFonts w:ascii="Calibri" w:hAnsi="Calibri"/>
          <w:sz w:val="21"/>
        </w:rPr>
      </w:r>
    </w:p>
    <w:p>
      <w:pPr>
        <w:spacing w:after="80"/>
        <w:ind w:left="454"/>
      </w:pPr>
      <w:r>
        <w:rPr>
          <w:rFonts w:ascii="Calibri" w:hAnsi="Calibri"/>
          <w:b/>
          <w:color w:val="0B6B57"/>
        </w:rPr>
        <w:t>3.  Abrir una orden de trabajo para esa moto. Anotar el codigo que se genera, con el formato OT-2026-XXXXXX. Intentar abrir otra orden usando una moto que pertenece a otro cliente: debe rechazarse.</w:t>
      </w:r>
      <w:r>
        <w:rPr>
          <w:rFonts w:ascii="Calibri" w:hAnsi="Calibri"/>
          <w:sz w:val="21"/>
        </w:rPr>
      </w:r>
    </w:p>
    <w:p>
      <w:pPr>
        <w:spacing w:after="80"/>
        <w:ind w:left="454"/>
      </w:pPr>
      <w:r>
        <w:rPr>
          <w:rFonts w:ascii="Calibri" w:hAnsi="Calibri"/>
          <w:b/>
          <w:color w:val="0B6B57"/>
        </w:rPr>
        <w:t>4.  Intentar pasar la orden de RECIBIDA directamente a ENTREGADA. Debe rechazarse con un mensaje que enumere las transiciones validas. Pasarla entonces a EN_DIAGNOSTICO.</w:t>
      </w:r>
      <w:r>
        <w:rPr>
          <w:rFonts w:ascii="Calibri" w:hAnsi="Calibri"/>
          <w:sz w:val="21"/>
        </w:rPr>
      </w:r>
    </w:p>
    <w:p>
      <w:pPr>
        <w:spacing w:after="80"/>
        <w:ind w:left="454"/>
      </w:pPr>
      <w:r>
        <w:rPr>
          <w:rFonts w:ascii="Calibri" w:hAnsi="Calibri"/>
          <w:b/>
          <w:color w:val="0B6B57"/>
        </w:rPr>
        <w:t>5.  Asignar un mecanico. Intentar asignar a la recepcionista: debe rechazarse porque no tiene ese rol. Entrar como mecanico (mecanico1@sigtm.com), registrar el diagnostico, la mano de obra y dos repuestos, y comprobar que el total suma mano de obra mas cada item por su cantidad.</w:t>
      </w:r>
      <w:r>
        <w:rPr>
          <w:rFonts w:ascii="Calibri" w:hAnsi="Calibri"/>
          <w:sz w:val="21"/>
        </w:rPr>
      </w:r>
    </w:p>
    <w:p>
      <w:pPr>
        <w:spacing w:after="80"/>
        <w:ind w:left="454"/>
      </w:pPr>
      <w:r>
        <w:rPr>
          <w:rFonts w:ascii="Calibri" w:hAnsi="Calibri"/>
          <w:b/>
          <w:color w:val="0B6B57"/>
        </w:rPr>
        <w:t>6.  Avanzar la orden hasta LISTA. Revisar la consola del servidor: debe aparecer el aviso enviado al cliente con el enlace para verlo. Comprobar que en el recorrido completo salieron cuatro correos y no seis: pasar de diagnostico a cotizacion no genera aviso, porque para el cliente sigue siendo la misma etapa.</w:t>
      </w:r>
      <w:r>
        <w:rPr>
          <w:rFonts w:ascii="Calibri" w:hAnsi="Calibri"/>
          <w:sz w:val="21"/>
        </w:rPr>
      </w:r>
    </w:p>
    <w:p>
      <w:pPr/>
      <w:r>
        <w:t>7.  En una ventana de incognito, consultar el codigo de la orden en la pantalla de seguimiento, sin iniciar sesion. Debe mostrar la linea de tiempo de cinco pasos y NO debe mostrar nombre, correo, cotizacion ni factura. Consultar despues un codigo inventado: debe responder sin revelar nada.</w:t>
      </w:r>
    </w:p>
    <w:p>
      <w:pPr>
        <w:spacing w:after="80"/>
        <w:ind w:left="454"/>
      </w:pPr>
      <w:r>
        <w:rPr>
          <w:rFonts w:ascii="Calibri" w:hAnsi="Calibri"/>
          <w:b/>
          <w:color w:val="0B6B57"/>
        </w:rPr>
        <w:t>8.  Entrar como cliente (cliente@sigtm.com) y comprobar que ve su moto y la misma linea de tiempo. Alterar el identificador en la direccion para pedir el expediente de otro cliente: debe responder 403. Salir, pedir el enlace de recuperacion de contrasena, tomarlo de la consola, cambiar la contrasena y comprobar dos cosas: que el enlace no sirve una segunda vez, y que la sesion que estaba abierta dejo de valer.</w:t>
      </w:r>
      <w:r>
        <w:rPr>
          <w:rFonts w:ascii="Calibri" w:hAnsi="Calibri"/>
          <w:sz w:val="21"/>
        </w:rPr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Los pasos 4 y 7 son los que conviene mostrar con calma. En el 4 la aplicacion se niega a hacer algo y explica por que, en vez de dejar pasar un salto de etapa que despues nadie puede reconstruir. En el 7 se ve lo que el sistema NO ensena a quien tiene el codigo pero no la cuenta: ni nombre, ni correo, ni precios.</w:t>
      </w: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8.1  Resultado de la ejecucion</w:t>
      </w:r>
    </w:p>
    <w:p>
      <w:pPr>
        <w:spacing w:before="0" w:after="120"/>
      </w:pPr>
      <w:r>
        <w:rPr>
          <w:rFonts w:ascii="Calibri" w:hAnsi="Calibri"/>
          <w:b w:val="0"/>
          <w:color w:val="111827"/>
          <w:sz w:val="21"/>
        </w:rPr>
        <w:t>El recorrido anterior, de siete pasos, se ejecuto el 11/09/2026. El 13/09 se reescribio por completo: los pasos que tenia no correspondian a esta aplicacion. El recorrido de ocho pasos que figura arriba NO se ha ejecutado todavia de forma manual por el equipo, y queda como tarea previa a la entrega. Lo que si esta verificado de forma automatica es el nucleo de lo que comprueba: la maquina de estados, los tokens, el limite de intentos y la regla de aviso al cliente suman 32 pruebas de unidad, y la recuperacion de contrasena y el aviso de cambio de etapa suman 27 comprobaciones de integracion contra la base real. Se declara asi, sin dar por ejecutado lo que no se ejecuto.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Paso</w:t>
            </w:r>
          </w:p>
        </w:tc>
        <w:tc>
          <w:tcPr>
            <w:tcW w:type="dxa" w:w="5102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1247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1. Entrar como administrador y mostrar el panel de indicadores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Ordenes por estado y repuestos bajo minimo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Listo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2. Crear una cuenta de mecanico desde el modulo de usuarios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 cuenta aparece y puede iniciar sesion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Listo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3. Entrar como recepcionista, registrar cliente, motocicleta y abrir una orden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Se genera el codigo publico de seguimiento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Listo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4. Asignar el mecanico y hacer avanzar la orden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La transicion invalida se rechaza con mensaje claro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Listo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5. Entrar como mecanico, registrar diagnostico y cotizacion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El total se calcula sobre mano de obra e items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Listo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6. Mostrar el historial de la orden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Cada cambio con su autor y su fecha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Listo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7. Entrar como cliente y mostrar la linea de tiempo del portal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Cinco pasos legibles con fecha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Listo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8. Consultar el seguimiento publico por codigo, sin sesion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Avance visible y ningun dato personal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Listo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DCF2EC"/>
          </w:tcPr>
          <w:p>
            <w:r>
              <w:rPr>
                <w:rFonts w:ascii="Calibri" w:hAnsi="Calibri"/>
                <w:b/>
                <w:color w:val="0B6B57"/>
                <w:sz w:val="21"/>
              </w:rPr>
              <w:t>Los ocho pasos quedaron aprobados como guion de la demostracion</w:t>
            </w:r>
            <w:r>
              <w:rPr>
                <w:rFonts w:ascii="Calibri" w:hAnsi="Calibri"/>
                <w:color w:val="374151"/>
                <w:sz w:val="20"/>
              </w:rPr>
            </w:r>
          </w:p>
          <w:p>
            <w:r>
              <w:rPr>
                <w:rFonts w:ascii="Calibri" w:hAnsi="Calibri"/>
                <w:b/>
                <w:color w:val="0B6B57"/>
                <w:sz w:val="21"/>
              </w:rPr>
              <w:t>El orden importa: cada paso deja preparado el siguiente, de modo que la demostracion cuenta la historia de una motocicleta que entra al taller y sale reparada. Si un paso falla en vivo, conviene seguir con el siguiente y volver despues, en vez de detener la sustentacion para depurar.</w:t>
            </w:r>
            <w:r>
              <w:rPr>
                <w:rFonts w:ascii="Calibri" w:hAnsi="Calibri"/>
                <w:color w:val="374151"/>
                <w:sz w:val="20"/>
              </w:rPr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6" w:color="0B6B57"/>
        </w:pBdr>
      </w:pPr>
      <w:r>
        <w:rPr>
          <w:rFonts w:ascii="Calibri" w:hAnsi="Calibri"/>
          <w:b/>
          <w:color w:val="0A5647"/>
          <w:sz w:val="30"/>
        </w:rPr>
        <w:t>9. Evidencias y deuda de calidad</w:t>
      </w: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9.1  Donde estan las evidencias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6123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Ubicacion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Registro de casos de prueba ejecutados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Este documento, secciones de clases y escenarios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Registro de defectos con causa raiz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Este documento, seccion de defectos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Capturas de la demostracion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/docs/calidad/evidencias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Video de presentacion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/docs/calidad/evidencias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Coleccion de la API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/docs/calidad/coleccion-postman.json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Calibri" w:hAnsi="Calibri"/>
          <w:b/>
          <w:color w:val="0B6B57"/>
          <w:sz w:val="24"/>
        </w:rPr>
        <w:t>9.2  Deuda de calidad reconocida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20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6463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Descripcion</w:t>
            </w:r>
          </w:p>
        </w:tc>
        <w:tc>
          <w:tcPr>
            <w:tcW w:type="dxa" w:w="1701"/>
            <w:shd w:val="clear" w:fill="0B6B5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Prioridad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PEN-01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Construir las pruebas unitarias del nucleo: tokens de seguridad, maquina de estados y reglas de permisos.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Alta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PEN-02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Configurar la integracion continua para que ejecute analisis y pruebas en cada envio.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Alta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PEN-03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Cerrar DEF-008, DEF-009 y DEF-010 antes de la congelacion del codigo.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Critica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PEN-04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Exportar la coleccion de la API al repositorio como evidencia de verificacion.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Media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PEN-05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Tomar las capturas de la demostracion para el manual de usuario.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alibri" w:hAnsi="Calibri"/>
                <w:color w:val="111827"/>
                <w:sz w:val="19"/>
              </w:rPr>
              <w:t>Media</w:t>
            </w:r>
          </w:p>
        </w:tc>
      </w:tr>
    </w:tbl>
    <w:p>
      <w:pPr>
        <w:spacing w:after="40"/>
      </w:pPr>
    </w:p>
    <w:p>
      <w:pPr>
        <w:spacing w:before="360" w:after="120"/>
      </w:pPr>
      <w:r>
        <w:rPr>
          <w:rFonts w:ascii="Calibri" w:hAnsi="Calibri"/>
          <w:b/>
          <w:color w:val="0A5647"/>
          <w:sz w:val="21"/>
        </w:rPr>
        <w:t>FIN DEL DOCUMENTO</w:t>
      </w:r>
    </w:p>
    <w:p>
      <w:pPr>
        <w:spacing w:before="0" w:after="120"/>
      </w:pPr>
      <w:r>
        <w:rPr>
          <w:rFonts w:ascii="Calibri" w:hAnsi="Calibri"/>
          <w:b w:val="0"/>
          <w:color w:val="6B7280"/>
          <w:sz w:val="18"/>
        </w:rPr>
        <w:t>Centro de Tecnologia de la Manufactura Avanzada — SENA Regional Antioquia  ·  Ficha 3114227  ·  Agosto de 2026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280"/>
        <w:sz w:val="16"/>
      </w:rPr>
      <w:t>SIGTM — Plan de Calidad, Pruebas y Aceptacion  |  ADSO-CAL-01 / DOC-10  |  Version 1.5  |  11/09/2026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