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52F" w:rsidRDefault="00BA452F" w:rsidP="00BA452F">
      <w:pPr>
        <w:jc w:val="center"/>
        <w:rPr>
          <w:rFonts w:cs="Arial"/>
          <w:b/>
          <w:color w:val="2E74B5" w:themeColor="accent1" w:themeShade="BF"/>
          <w:sz w:val="24"/>
        </w:rPr>
      </w:pPr>
      <w:r>
        <w:rPr>
          <w:rFonts w:cs="Arial"/>
          <w:b/>
          <w:color w:val="2E74B5" w:themeColor="accent1" w:themeShade="BF"/>
          <w:sz w:val="24"/>
        </w:rPr>
        <w:t>Gender and Business Environment Reform: What is ‘‘Best Practice?’’</w:t>
      </w:r>
    </w:p>
    <w:p w:rsidR="00AF7BD1" w:rsidRPr="00310C8E" w:rsidRDefault="003A0D16" w:rsidP="00AB3EFC">
      <w:pPr>
        <w:rPr>
          <w:strike/>
        </w:rPr>
      </w:pPr>
      <w:r w:rsidRPr="00310C8E">
        <w:rPr>
          <w:strike/>
        </w:rPr>
        <w:t xml:space="preserve">Disclaimer: </w:t>
      </w:r>
      <w:r w:rsidR="00AF7BD1" w:rsidRPr="00310C8E">
        <w:rPr>
          <w:strike/>
        </w:rPr>
        <w:t xml:space="preserve">This informal </w:t>
      </w:r>
      <w:r w:rsidR="00795118" w:rsidRPr="00310C8E">
        <w:rPr>
          <w:strike/>
        </w:rPr>
        <w:t xml:space="preserve">summary </w:t>
      </w:r>
      <w:r w:rsidR="00AF7BD1" w:rsidRPr="00310C8E">
        <w:rPr>
          <w:strike/>
        </w:rPr>
        <w:t>report was produced for DFID Bangladesh in May 2016.</w:t>
      </w:r>
      <w:r w:rsidR="007851CD" w:rsidRPr="00310C8E">
        <w:rPr>
          <w:strike/>
        </w:rPr>
        <w:t xml:space="preserve"> </w:t>
      </w:r>
      <w:r w:rsidR="00AF7BD1" w:rsidRPr="00310C8E">
        <w:rPr>
          <w:strike/>
        </w:rPr>
        <w:t>It was generated in a short period of time, incorporating elements of as-yet u</w:t>
      </w:r>
      <w:r w:rsidR="00FD4AC7" w:rsidRPr="00310C8E">
        <w:rPr>
          <w:strike/>
        </w:rPr>
        <w:t>npublished research conducted for</w:t>
      </w:r>
      <w:r w:rsidR="00AF7BD1" w:rsidRPr="00310C8E">
        <w:rPr>
          <w:strike/>
        </w:rPr>
        <w:t xml:space="preserve"> the DCED.</w:t>
      </w:r>
      <w:r w:rsidR="007851CD" w:rsidRPr="00310C8E">
        <w:rPr>
          <w:strike/>
        </w:rPr>
        <w:t xml:space="preserve"> </w:t>
      </w:r>
      <w:r w:rsidR="00AF7BD1" w:rsidRPr="00310C8E">
        <w:rPr>
          <w:strike/>
        </w:rPr>
        <w:t>For this reason</w:t>
      </w:r>
      <w:r w:rsidR="00795118" w:rsidRPr="00310C8E">
        <w:rPr>
          <w:strike/>
        </w:rPr>
        <w:t>,</w:t>
      </w:r>
      <w:r w:rsidR="00AF7BD1" w:rsidRPr="00310C8E">
        <w:rPr>
          <w:strike/>
        </w:rPr>
        <w:t xml:space="preserve"> it should not be referenced.</w:t>
      </w:r>
      <w:r w:rsidR="007851CD" w:rsidRPr="00310C8E">
        <w:rPr>
          <w:strike/>
        </w:rPr>
        <w:t xml:space="preserve"> </w:t>
      </w:r>
      <w:r w:rsidR="00AF7BD1" w:rsidRPr="00310C8E">
        <w:rPr>
          <w:strike/>
        </w:rPr>
        <w:t>It will soon be replaced by a</w:t>
      </w:r>
      <w:r w:rsidR="00A75E07" w:rsidRPr="00310C8E">
        <w:rPr>
          <w:strike/>
        </w:rPr>
        <w:t>n expanded and</w:t>
      </w:r>
      <w:r w:rsidR="00AF7BD1" w:rsidRPr="00310C8E">
        <w:rPr>
          <w:strike/>
        </w:rPr>
        <w:t xml:space="preserve"> finalised version in which it will have been possible to reference sources properly.</w:t>
      </w:r>
    </w:p>
    <w:p w:rsidR="00310C8E" w:rsidRDefault="00310C8E" w:rsidP="00485B5D">
      <w:pPr>
        <w:pStyle w:val="Heading1"/>
      </w:pPr>
      <w:r>
        <w:t>Strengths and Weaknesses of Different Approaches</w:t>
      </w:r>
    </w:p>
    <w:p w:rsidR="00310C8E" w:rsidRDefault="00A96A97" w:rsidP="00310C8E">
      <w:r>
        <w:t xml:space="preserve">Job creation </w:t>
      </w:r>
      <w:proofErr w:type="spellStart"/>
      <w:r>
        <w:t>vs</w:t>
      </w:r>
      <w:proofErr w:type="spellEnd"/>
      <w:r>
        <w:t xml:space="preserve"> removing barriers to female employment</w:t>
      </w:r>
    </w:p>
    <w:p w:rsidR="00A96A97" w:rsidRDefault="00A96A97" w:rsidP="00310C8E">
      <w:r>
        <w:t>Profile of gender in communications</w:t>
      </w:r>
    </w:p>
    <w:p w:rsidR="00A96A97" w:rsidRDefault="00A96A97" w:rsidP="00310C8E">
      <w:r>
        <w:t>Health and education versus employment and formalisation</w:t>
      </w:r>
    </w:p>
    <w:p w:rsidR="00B053E8" w:rsidRDefault="00B053E8" w:rsidP="00B053E8">
      <w:pPr>
        <w:pStyle w:val="Heading1"/>
      </w:pPr>
      <w:r>
        <w:t>Employment Creation</w:t>
      </w:r>
    </w:p>
    <w:p w:rsidR="00B053E8" w:rsidRDefault="002F7AE3" w:rsidP="00310C8E">
      <w:r>
        <w:t>SEZs</w:t>
      </w:r>
    </w:p>
    <w:p w:rsidR="00A96A97" w:rsidRDefault="00A96A97" w:rsidP="00310C8E"/>
    <w:p w:rsidR="00254725" w:rsidRDefault="00254725" w:rsidP="00254725">
      <w:pPr>
        <w:pStyle w:val="Heading1"/>
      </w:pPr>
      <w:r>
        <w:t>Case Study: Bangladesh</w:t>
      </w:r>
    </w:p>
    <w:p w:rsidR="000660BF" w:rsidRDefault="00DC04D4" w:rsidP="000660BF">
      <w:r>
        <w:t>In an important sense, what has traditionally be</w:t>
      </w:r>
      <w:r w:rsidR="00654C1D">
        <w:t>en</w:t>
      </w:r>
      <w:r>
        <w:t xml:space="preserve"> considered a “business environment reform activity” has been defined by men’s experiences as entrepreneurs and workers, and the constraints to doing business that they have </w:t>
      </w:r>
      <w:proofErr w:type="gramStart"/>
      <w:r>
        <w:t>encountered.</w:t>
      </w:r>
      <w:proofErr w:type="gramEnd"/>
      <w:r>
        <w:t xml:space="preserve">  Once women’s experiences are properly articulated and understood, the focus shifts — and even the </w:t>
      </w:r>
      <w:r w:rsidR="004A4AC9">
        <w:t>variety of projects that</w:t>
      </w:r>
      <w:r>
        <w:t xml:space="preserve"> </w:t>
      </w:r>
      <w:r w:rsidR="00451628">
        <w:t>are</w:t>
      </w:r>
      <w:r>
        <w:t xml:space="preserve"> considered </w:t>
      </w:r>
      <w:r w:rsidR="00451628">
        <w:t xml:space="preserve">to be </w:t>
      </w:r>
      <w:r>
        <w:t>“business environment reform activities” expands.</w:t>
      </w:r>
    </w:p>
    <w:tbl>
      <w:tblPr>
        <w:tblStyle w:val="TableGrid"/>
        <w:tblW w:w="0" w:type="auto"/>
        <w:tblLook w:val="04A0"/>
      </w:tblPr>
      <w:tblGrid>
        <w:gridCol w:w="959"/>
        <w:gridCol w:w="3685"/>
        <w:gridCol w:w="4598"/>
      </w:tblGrid>
      <w:tr w:rsidR="000660BF" w:rsidTr="00E47DD6">
        <w:tc>
          <w:tcPr>
            <w:tcW w:w="4644" w:type="dxa"/>
            <w:gridSpan w:val="2"/>
          </w:tcPr>
          <w:p w:rsidR="000660BF" w:rsidRDefault="000660BF" w:rsidP="00DD5B67">
            <w:pPr>
              <w:jc w:val="center"/>
            </w:pPr>
            <w:r>
              <w:t xml:space="preserve">Level of </w:t>
            </w:r>
            <w:r w:rsidR="00DD5B67">
              <w:t>Ambition</w:t>
            </w:r>
          </w:p>
        </w:tc>
        <w:tc>
          <w:tcPr>
            <w:tcW w:w="4598" w:type="dxa"/>
          </w:tcPr>
          <w:p w:rsidR="000660BF" w:rsidRDefault="000660BF" w:rsidP="000660BF">
            <w:pPr>
              <w:jc w:val="center"/>
            </w:pPr>
            <w:r>
              <w:t>Examples</w:t>
            </w:r>
          </w:p>
        </w:tc>
      </w:tr>
      <w:tr w:rsidR="000660BF" w:rsidTr="000660BF">
        <w:tc>
          <w:tcPr>
            <w:tcW w:w="959" w:type="dxa"/>
          </w:tcPr>
          <w:p w:rsidR="000660BF" w:rsidRDefault="000660BF" w:rsidP="000660BF">
            <w:r>
              <w:t>Low</w:t>
            </w:r>
          </w:p>
        </w:tc>
        <w:tc>
          <w:tcPr>
            <w:tcW w:w="3685" w:type="dxa"/>
          </w:tcPr>
          <w:p w:rsidR="000660BF" w:rsidRDefault="000660BF" w:rsidP="000660BF">
            <w:r>
              <w:t>Clear communication of benefits for women, requiring gender-disaggregated results reporting</w:t>
            </w:r>
          </w:p>
        </w:tc>
        <w:tc>
          <w:tcPr>
            <w:tcW w:w="4598" w:type="dxa"/>
          </w:tcPr>
          <w:p w:rsidR="000660BF" w:rsidRDefault="000660BF" w:rsidP="000660BF">
            <w:r>
              <w:t>Measuring and reporting the disproportionate benefit to formal-sector female employment of SEZ creation and expansion.</w:t>
            </w:r>
          </w:p>
          <w:p w:rsidR="005D4241" w:rsidRDefault="005D4241" w:rsidP="005D4241">
            <w:r>
              <w:t>Given the lack of evidence that gender-sensitive programming has more beneficial effects for women than previous approaches, gender-disaggregated results reporting is highly desirable for all projects regardless of whether results are expected to have a desirable gender balance.</w:t>
            </w:r>
          </w:p>
        </w:tc>
      </w:tr>
      <w:tr w:rsidR="000660BF" w:rsidTr="000660BF">
        <w:tc>
          <w:tcPr>
            <w:tcW w:w="959" w:type="dxa"/>
          </w:tcPr>
          <w:p w:rsidR="000660BF" w:rsidRDefault="000660BF" w:rsidP="000660BF">
            <w:r>
              <w:t>Medium</w:t>
            </w:r>
          </w:p>
        </w:tc>
        <w:tc>
          <w:tcPr>
            <w:tcW w:w="3685" w:type="dxa"/>
          </w:tcPr>
          <w:p w:rsidR="000660BF" w:rsidRDefault="000660BF" w:rsidP="000660BF">
            <w:r>
              <w:t>Incorporating gender analysis into programme design</w:t>
            </w:r>
          </w:p>
        </w:tc>
        <w:tc>
          <w:tcPr>
            <w:tcW w:w="4598" w:type="dxa"/>
          </w:tcPr>
          <w:p w:rsidR="000660BF" w:rsidRDefault="000660BF" w:rsidP="000660BF">
            <w:r>
              <w:t>Legal reviews to incorporate gender analysis, e.g. labour law that disproportionately affects women.</w:t>
            </w:r>
          </w:p>
          <w:p w:rsidR="000660BF" w:rsidRDefault="000660BF" w:rsidP="000660BF">
            <w:r>
              <w:t>Export sector diversification measures to incorporate labour</w:t>
            </w:r>
            <w:r w:rsidR="007B3BA3">
              <w:t>, investor</w:t>
            </w:r>
            <w:r>
              <w:t xml:space="preserve"> and entrepreneur gender analysis to ensure that overall the programme meets gender goals.</w:t>
            </w:r>
          </w:p>
        </w:tc>
      </w:tr>
      <w:tr w:rsidR="000660BF" w:rsidTr="000660BF">
        <w:tc>
          <w:tcPr>
            <w:tcW w:w="959" w:type="dxa"/>
          </w:tcPr>
          <w:p w:rsidR="000660BF" w:rsidRDefault="000660BF" w:rsidP="000660BF">
            <w:r>
              <w:t>High</w:t>
            </w:r>
          </w:p>
        </w:tc>
        <w:tc>
          <w:tcPr>
            <w:tcW w:w="3685" w:type="dxa"/>
          </w:tcPr>
          <w:p w:rsidR="000660BF" w:rsidRDefault="000660BF" w:rsidP="000660BF">
            <w:r>
              <w:t>Adding programme components that stem fundamentally from gender-aware analysis of the economy and society</w:t>
            </w:r>
          </w:p>
        </w:tc>
        <w:tc>
          <w:tcPr>
            <w:tcW w:w="4598" w:type="dxa"/>
          </w:tcPr>
          <w:p w:rsidR="000660BF" w:rsidRDefault="000660BF" w:rsidP="000660BF">
            <w:r>
              <w:t>Interventions such as childcare subsidy and insurance for maternity costs and leave, which expand perception of what is considered business environment reform</w:t>
            </w:r>
          </w:p>
        </w:tc>
      </w:tr>
    </w:tbl>
    <w:p w:rsidR="000660BF" w:rsidRPr="000660BF" w:rsidRDefault="000660BF" w:rsidP="000660BF"/>
    <w:p w:rsidR="00254725" w:rsidRPr="00310C8E" w:rsidRDefault="00254725" w:rsidP="00310C8E"/>
    <w:p w:rsidR="00BA452F" w:rsidRDefault="00D914CF" w:rsidP="00485B5D">
      <w:pPr>
        <w:pStyle w:val="Heading1"/>
      </w:pPr>
      <w:r>
        <w:lastRenderedPageBreak/>
        <w:t>Best Practice</w:t>
      </w:r>
    </w:p>
    <w:p w:rsidR="00744425" w:rsidRDefault="00D914CF" w:rsidP="00D914CF">
      <w:r>
        <w:t xml:space="preserve">The main authority on best practice in gender-sensitive business environment reform is </w:t>
      </w:r>
      <w:r>
        <w:rPr>
          <w:i/>
        </w:rPr>
        <w:t>Gender Dimensions of Business Environment Reform</w:t>
      </w:r>
      <w:r>
        <w:t xml:space="preserve"> </w:t>
      </w:r>
      <w:r w:rsidR="007851CD">
        <w:t xml:space="preserve">(2010) </w:t>
      </w:r>
      <w:r>
        <w:t xml:space="preserve">by </w:t>
      </w:r>
      <w:proofErr w:type="spellStart"/>
      <w:r>
        <w:t>Simani</w:t>
      </w:r>
      <w:proofErr w:type="spellEnd"/>
      <w:r>
        <w:t xml:space="preserve"> et al</w:t>
      </w:r>
      <w:r w:rsidR="0046174A">
        <w:t>, published by the World Bank</w:t>
      </w:r>
      <w:r>
        <w:t>.</w:t>
      </w:r>
      <w:r w:rsidR="007851CD">
        <w:t xml:space="preserve"> </w:t>
      </w:r>
      <w:r w:rsidR="00744425">
        <w:t>This book contains</w:t>
      </w:r>
      <w:r w:rsidR="003A0D16">
        <w:t>:</w:t>
      </w:r>
    </w:p>
    <w:p w:rsidR="00744425" w:rsidRDefault="00A75E07" w:rsidP="00744425">
      <w:pPr>
        <w:pStyle w:val="ListParagraph"/>
        <w:numPr>
          <w:ilvl w:val="0"/>
          <w:numId w:val="40"/>
        </w:numPr>
      </w:pPr>
      <w:r>
        <w:t>a summary of the economic rationale for gender-sensitive business environment reform</w:t>
      </w:r>
      <w:r w:rsidR="00744425">
        <w:t>,</w:t>
      </w:r>
    </w:p>
    <w:p w:rsidR="00744425" w:rsidRDefault="00A75E07" w:rsidP="00744425">
      <w:pPr>
        <w:pStyle w:val="ListParagraph"/>
        <w:numPr>
          <w:ilvl w:val="0"/>
          <w:numId w:val="40"/>
        </w:numPr>
      </w:pPr>
      <w:r>
        <w:t xml:space="preserve">a “core module” describing the general methodology for all programmes, </w:t>
      </w:r>
      <w:r w:rsidR="00744425">
        <w:t>and</w:t>
      </w:r>
    </w:p>
    <w:p w:rsidR="00744425" w:rsidRDefault="00A75E07" w:rsidP="00744425">
      <w:pPr>
        <w:pStyle w:val="ListParagraph"/>
        <w:numPr>
          <w:ilvl w:val="0"/>
          <w:numId w:val="40"/>
        </w:numPr>
      </w:pPr>
      <w:proofErr w:type="gramStart"/>
      <w:r>
        <w:t>additional</w:t>
      </w:r>
      <w:proofErr w:type="gramEnd"/>
      <w:r>
        <w:t xml:space="preserve"> guidance on eight specific sectors of business environment reform (such as public–private dialogue, busines</w:t>
      </w:r>
      <w:r w:rsidR="00744425">
        <w:t>s entry and operations, etc.).</w:t>
      </w:r>
    </w:p>
    <w:p w:rsidR="00D914CF" w:rsidRDefault="00A75E07" w:rsidP="00744425">
      <w:r>
        <w:t>Each section of guidance covers all aspects of programme implementation, from diagnostics and programme design</w:t>
      </w:r>
      <w:r w:rsidR="003A0D16">
        <w:t xml:space="preserve"> through to implementation, </w:t>
      </w:r>
      <w:r>
        <w:t>monitoring and evaluation.</w:t>
      </w:r>
    </w:p>
    <w:p w:rsidR="00A75E07" w:rsidRDefault="00A75E07" w:rsidP="00D914CF">
      <w:r>
        <w:t>The book proposes a diagnostics-driven approach, based on a comprehensive analysis of the social and economic role of women in the local context, and tends to downplay rules of thumb or learning from different</w:t>
      </w:r>
      <w:r w:rsidR="007910EA">
        <w:t xml:space="preserve"> countries</w:t>
      </w:r>
      <w:r>
        <w:t>.</w:t>
      </w:r>
      <w:r w:rsidR="007851CD">
        <w:t xml:space="preserve"> </w:t>
      </w:r>
      <w:r w:rsidR="007910EA">
        <w:t>This reflects the current state of evidence (see next section).</w:t>
      </w:r>
      <w:r w:rsidR="007851CD">
        <w:t xml:space="preserve"> </w:t>
      </w:r>
      <w:r>
        <w:t>However, the diagnostic guidance is comprehensive, including recommended data sources, checklists of key questions and sample questionnaires</w:t>
      </w:r>
      <w:r w:rsidR="00B624C7">
        <w:t xml:space="preserve"> for each sector.</w:t>
      </w:r>
      <w:r w:rsidR="007851CD">
        <w:t xml:space="preserve"> </w:t>
      </w:r>
      <w:r w:rsidR="00B624C7">
        <w:t>Diagnostic steps are also prioritised to facilitate light-touch analysis where time or resources are tight.</w:t>
      </w:r>
    </w:p>
    <w:p w:rsidR="006D7D5E" w:rsidRPr="006D7D5E" w:rsidRDefault="006D7D5E" w:rsidP="006D7D5E">
      <w:pPr>
        <w:jc w:val="center"/>
        <w:rPr>
          <w:i/>
        </w:rPr>
      </w:pPr>
      <w:r>
        <w:t xml:space="preserve">Summary of core module in </w:t>
      </w:r>
      <w:r>
        <w:rPr>
          <w:i/>
        </w:rPr>
        <w:t>Gender Dimensions of Business Environment Reform</w:t>
      </w:r>
      <w:r>
        <w:rPr>
          <w:rStyle w:val="FootnoteReference"/>
          <w:i/>
        </w:rPr>
        <w:footnoteReference w:id="2"/>
      </w:r>
    </w:p>
    <w:tbl>
      <w:tblPr>
        <w:tblStyle w:val="DarkList-Accent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113" w:type="dxa"/>
          <w:bottom w:w="113" w:type="dxa"/>
        </w:tblCellMar>
        <w:tblLook w:val="0200"/>
      </w:tblPr>
      <w:tblGrid>
        <w:gridCol w:w="1951"/>
        <w:gridCol w:w="7291"/>
      </w:tblGrid>
      <w:tr w:rsidR="00F50FFC" w:rsidTr="00D612F6">
        <w:tc>
          <w:tcPr>
            <w:cnfStyle w:val="000010000000"/>
            <w:tcW w:w="1951" w:type="dxa"/>
            <w:tcBorders>
              <w:top w:val="none" w:sz="0" w:space="0" w:color="auto"/>
              <w:left w:val="none" w:sz="0" w:space="0" w:color="auto"/>
              <w:bottom w:val="none" w:sz="0" w:space="0" w:color="auto"/>
              <w:right w:val="none" w:sz="0" w:space="0" w:color="auto"/>
            </w:tcBorders>
            <w:vAlign w:val="center"/>
          </w:tcPr>
          <w:p w:rsidR="00F50FFC" w:rsidRPr="00D612F6" w:rsidRDefault="00F50FFC" w:rsidP="00D612F6">
            <w:pPr>
              <w:jc w:val="center"/>
              <w:rPr>
                <w:b/>
              </w:rPr>
            </w:pPr>
            <w:r w:rsidRPr="00D612F6">
              <w:rPr>
                <w:b/>
              </w:rPr>
              <w:t>Core Diagnostics</w:t>
            </w:r>
          </w:p>
        </w:tc>
        <w:tc>
          <w:tcPr>
            <w:tcW w:w="7291" w:type="dxa"/>
          </w:tcPr>
          <w:p w:rsidR="00F50FFC" w:rsidRPr="00D612F6" w:rsidRDefault="00F50FFC" w:rsidP="00D612F6">
            <w:pPr>
              <w:pStyle w:val="ListParagraph"/>
              <w:numPr>
                <w:ilvl w:val="0"/>
                <w:numId w:val="42"/>
              </w:numPr>
              <w:ind w:left="318" w:hanging="284"/>
              <w:jc w:val="left"/>
              <w:cnfStyle w:val="000000000000"/>
            </w:pPr>
            <w:r w:rsidRPr="00D612F6">
              <w:t>Understand the roles of men and women in the economy</w:t>
            </w:r>
          </w:p>
          <w:p w:rsidR="00F50FFC" w:rsidRPr="00D612F6" w:rsidRDefault="00F50FFC" w:rsidP="00D612F6">
            <w:pPr>
              <w:pStyle w:val="ListParagraph"/>
              <w:numPr>
                <w:ilvl w:val="0"/>
                <w:numId w:val="42"/>
              </w:numPr>
              <w:ind w:left="318" w:hanging="284"/>
              <w:jc w:val="left"/>
              <w:cnfStyle w:val="000000000000"/>
            </w:pPr>
            <w:r w:rsidRPr="00D612F6">
              <w:t>View investment climate reform in the broader social and economic context</w:t>
            </w:r>
          </w:p>
          <w:p w:rsidR="00F50FFC" w:rsidRPr="00D612F6" w:rsidRDefault="00F50FFC" w:rsidP="00D612F6">
            <w:pPr>
              <w:pStyle w:val="ListParagraph"/>
              <w:numPr>
                <w:ilvl w:val="0"/>
                <w:numId w:val="42"/>
              </w:numPr>
              <w:ind w:left="318" w:hanging="284"/>
              <w:jc w:val="left"/>
              <w:cnfStyle w:val="000000000000"/>
            </w:pPr>
            <w:r w:rsidRPr="00D612F6">
              <w:t>Analyze the legal status of men and women</w:t>
            </w:r>
          </w:p>
          <w:p w:rsidR="00F50FFC" w:rsidRPr="00D612F6" w:rsidRDefault="00F50FFC" w:rsidP="00D612F6">
            <w:pPr>
              <w:pStyle w:val="ListParagraph"/>
              <w:numPr>
                <w:ilvl w:val="0"/>
                <w:numId w:val="42"/>
              </w:numPr>
              <w:ind w:left="318" w:hanging="284"/>
              <w:jc w:val="left"/>
              <w:cnfStyle w:val="000000000000"/>
            </w:pPr>
            <w:r w:rsidRPr="00D612F6">
              <w:t>Identify laws, regulations, procedures and business obstacles that are perceived differently by men and women</w:t>
            </w:r>
          </w:p>
          <w:p w:rsidR="00F50FFC" w:rsidRPr="00D612F6" w:rsidRDefault="00F50FFC" w:rsidP="00D612F6">
            <w:pPr>
              <w:pStyle w:val="ListParagraph"/>
              <w:numPr>
                <w:ilvl w:val="0"/>
                <w:numId w:val="42"/>
              </w:numPr>
              <w:ind w:left="318" w:hanging="284"/>
              <w:jc w:val="left"/>
              <w:cnfStyle w:val="000000000000"/>
            </w:pPr>
            <w:r w:rsidRPr="00D612F6">
              <w:t>Ensure women are represented in consultations</w:t>
            </w:r>
          </w:p>
        </w:tc>
      </w:tr>
      <w:tr w:rsidR="00F50FFC" w:rsidTr="00D612F6">
        <w:tc>
          <w:tcPr>
            <w:cnfStyle w:val="000010000000"/>
            <w:tcW w:w="1951" w:type="dxa"/>
            <w:tcBorders>
              <w:left w:val="none" w:sz="0" w:space="0" w:color="auto"/>
              <w:bottom w:val="none" w:sz="0" w:space="0" w:color="auto"/>
              <w:right w:val="none" w:sz="0" w:space="0" w:color="auto"/>
            </w:tcBorders>
            <w:vAlign w:val="center"/>
          </w:tcPr>
          <w:p w:rsidR="00F50FFC" w:rsidRPr="00D612F6" w:rsidRDefault="00F50FFC" w:rsidP="00D612F6">
            <w:pPr>
              <w:jc w:val="center"/>
              <w:rPr>
                <w:b/>
              </w:rPr>
            </w:pPr>
            <w:r w:rsidRPr="00D612F6">
              <w:rPr>
                <w:b/>
              </w:rPr>
              <w:t>Solution Design</w:t>
            </w:r>
          </w:p>
        </w:tc>
        <w:tc>
          <w:tcPr>
            <w:tcW w:w="7291" w:type="dxa"/>
          </w:tcPr>
          <w:p w:rsidR="00F50FFC" w:rsidRPr="00D612F6" w:rsidRDefault="00F50FFC" w:rsidP="00D612F6">
            <w:pPr>
              <w:pStyle w:val="ListParagraph"/>
              <w:numPr>
                <w:ilvl w:val="0"/>
                <w:numId w:val="42"/>
              </w:numPr>
              <w:ind w:left="318" w:hanging="284"/>
              <w:jc w:val="left"/>
              <w:cnfStyle w:val="000000000000"/>
            </w:pPr>
            <w:r w:rsidRPr="00D612F6">
              <w:t>Test political and cultural acceptability</w:t>
            </w:r>
          </w:p>
          <w:p w:rsidR="00F50FFC" w:rsidRPr="00D612F6" w:rsidRDefault="00F50FFC" w:rsidP="00D612F6">
            <w:pPr>
              <w:pStyle w:val="ListParagraph"/>
              <w:numPr>
                <w:ilvl w:val="0"/>
                <w:numId w:val="42"/>
              </w:numPr>
              <w:ind w:left="318" w:hanging="284"/>
              <w:jc w:val="left"/>
              <w:cnfStyle w:val="000000000000"/>
            </w:pPr>
            <w:r w:rsidRPr="00D612F6">
              <w:t>Involve women in developing solutions</w:t>
            </w:r>
          </w:p>
          <w:p w:rsidR="00F50FFC" w:rsidRPr="00D612F6" w:rsidRDefault="00F50FFC" w:rsidP="00D612F6">
            <w:pPr>
              <w:pStyle w:val="ListParagraph"/>
              <w:numPr>
                <w:ilvl w:val="0"/>
                <w:numId w:val="42"/>
              </w:numPr>
              <w:ind w:left="318" w:hanging="284"/>
              <w:jc w:val="left"/>
              <w:cnfStyle w:val="000000000000"/>
            </w:pPr>
            <w:r w:rsidRPr="00D612F6">
              <w:t>Link with existing government strategies</w:t>
            </w:r>
          </w:p>
          <w:p w:rsidR="00F50FFC" w:rsidRPr="00D612F6" w:rsidRDefault="00F50FFC" w:rsidP="00D612F6">
            <w:pPr>
              <w:pStyle w:val="ListParagraph"/>
              <w:numPr>
                <w:ilvl w:val="0"/>
                <w:numId w:val="42"/>
              </w:numPr>
              <w:ind w:left="318" w:hanging="284"/>
              <w:jc w:val="left"/>
              <w:cnfStyle w:val="000000000000"/>
            </w:pPr>
            <w:r w:rsidRPr="00D612F6">
              <w:t xml:space="preserve">Draw on in-country </w:t>
            </w:r>
            <w:r w:rsidR="00D612F6" w:rsidRPr="00D612F6">
              <w:t>expertise</w:t>
            </w:r>
          </w:p>
        </w:tc>
      </w:tr>
      <w:tr w:rsidR="00F50FFC" w:rsidTr="00D612F6">
        <w:tc>
          <w:tcPr>
            <w:cnfStyle w:val="000010000000"/>
            <w:tcW w:w="1951" w:type="dxa"/>
            <w:tcBorders>
              <w:left w:val="none" w:sz="0" w:space="0" w:color="auto"/>
              <w:bottom w:val="none" w:sz="0" w:space="0" w:color="auto"/>
              <w:right w:val="none" w:sz="0" w:space="0" w:color="auto"/>
            </w:tcBorders>
            <w:vAlign w:val="center"/>
          </w:tcPr>
          <w:p w:rsidR="00F50FFC" w:rsidRPr="00D612F6" w:rsidRDefault="00F50FFC" w:rsidP="00D612F6">
            <w:pPr>
              <w:jc w:val="center"/>
              <w:rPr>
                <w:b/>
              </w:rPr>
            </w:pPr>
            <w:r w:rsidRPr="00D612F6">
              <w:rPr>
                <w:b/>
              </w:rPr>
              <w:t>Implementation and M&amp;E</w:t>
            </w:r>
          </w:p>
        </w:tc>
        <w:tc>
          <w:tcPr>
            <w:tcW w:w="7291" w:type="dxa"/>
          </w:tcPr>
          <w:p w:rsidR="00F50FFC" w:rsidRPr="00D612F6" w:rsidRDefault="00F50FFC" w:rsidP="00D612F6">
            <w:pPr>
              <w:pStyle w:val="ListParagraph"/>
              <w:numPr>
                <w:ilvl w:val="0"/>
                <w:numId w:val="42"/>
              </w:numPr>
              <w:ind w:left="318" w:hanging="284"/>
              <w:jc w:val="left"/>
              <w:cnfStyle w:val="000000000000"/>
            </w:pPr>
            <w:r w:rsidRPr="00D612F6">
              <w:t>Establish baselines</w:t>
            </w:r>
          </w:p>
          <w:p w:rsidR="00F50FFC" w:rsidRPr="00D612F6" w:rsidRDefault="00F50FFC" w:rsidP="00D612F6">
            <w:pPr>
              <w:pStyle w:val="ListParagraph"/>
              <w:numPr>
                <w:ilvl w:val="0"/>
                <w:numId w:val="42"/>
              </w:numPr>
              <w:ind w:left="318" w:hanging="284"/>
              <w:jc w:val="left"/>
              <w:cnfStyle w:val="000000000000"/>
            </w:pPr>
            <w:r w:rsidRPr="00D612F6">
              <w:t>Integrate gender-focused indicators into M&amp;E systems</w:t>
            </w:r>
          </w:p>
        </w:tc>
      </w:tr>
    </w:tbl>
    <w:p w:rsidR="001605D3" w:rsidRPr="001605D3" w:rsidRDefault="006D7D5E" w:rsidP="001605D3">
      <w:r>
        <w:t>The book</w:t>
      </w:r>
      <w:r w:rsidR="001605D3">
        <w:t xml:space="preserve"> complements </w:t>
      </w:r>
      <w:r w:rsidR="001605D3">
        <w:rPr>
          <w:i/>
        </w:rPr>
        <w:t>Supporting Business Environment Reforms</w:t>
      </w:r>
      <w:r w:rsidR="001605D3">
        <w:t xml:space="preserve"> by the DCED (2008), which provides the standard methodological framework for implementing business environment reform projects, but lacks </w:t>
      </w:r>
      <w:r w:rsidR="00F64FA9">
        <w:t xml:space="preserve">adequate </w:t>
      </w:r>
      <w:r w:rsidR="001605D3">
        <w:t>guidance on gender considerations.</w:t>
      </w:r>
      <w:r w:rsidR="007851CD">
        <w:t xml:space="preserve"> </w:t>
      </w:r>
      <w:r w:rsidR="001605D3">
        <w:t>The DCED is in the process of writing a gender annex to their 2008 guidance, which should be available later this year.</w:t>
      </w:r>
    </w:p>
    <w:p w:rsidR="00D914CF" w:rsidRPr="00D914CF" w:rsidRDefault="00D914CF" w:rsidP="00D914CF">
      <w:pPr>
        <w:pStyle w:val="Heading1"/>
      </w:pPr>
      <w:r>
        <w:t>Summary of Evidence</w:t>
      </w:r>
    </w:p>
    <w:p w:rsidR="00972517" w:rsidRDefault="009D3AD0" w:rsidP="00D914CF">
      <w:r>
        <w:t>Evaluation of</w:t>
      </w:r>
      <w:r w:rsidR="006D7D5E">
        <w:t xml:space="preserve"> investment climate </w:t>
      </w:r>
      <w:r>
        <w:t>reform more generally is not yet able to verify</w:t>
      </w:r>
      <w:r w:rsidR="006D7D5E">
        <w:t xml:space="preserve"> or measure the impact of projects</w:t>
      </w:r>
      <w:r>
        <w:t>.</w:t>
      </w:r>
      <w:r w:rsidR="007851CD">
        <w:t xml:space="preserve"> </w:t>
      </w:r>
      <w:r>
        <w:t>For example, an IEG evaluation of 819 World Bank investment climate projects concluded that</w:t>
      </w:r>
      <w:r w:rsidR="003A0D16">
        <w:t>:</w:t>
      </w:r>
    </w:p>
    <w:p w:rsidR="009D3AD0" w:rsidRDefault="009D3AD0" w:rsidP="009D3AD0">
      <w:pPr>
        <w:pStyle w:val="Quote"/>
      </w:pPr>
      <w:r>
        <w:t xml:space="preserve">Broader impact [of the investment climate projects studied] on investment, job formation, and growth is still not clear. Neither is the overall effect of these solutions </w:t>
      </w:r>
      <w:r>
        <w:lastRenderedPageBreak/>
        <w:t>when taking a holistic country-level view.</w:t>
      </w:r>
      <w:r w:rsidR="007851CD">
        <w:t xml:space="preserve"> </w:t>
      </w:r>
      <w:r>
        <w:t>Further, the social purpose of regulation and therefore the social impact of regulatory reform is not properly identified and measured.</w:t>
      </w:r>
      <w:r>
        <w:rPr>
          <w:rStyle w:val="FootnoteReference"/>
        </w:rPr>
        <w:footnoteReference w:id="3"/>
      </w:r>
    </w:p>
    <w:p w:rsidR="009D3AD0" w:rsidRDefault="0012236C" w:rsidP="009D3AD0">
      <w:r>
        <w:t>At this stage available evidence is limited to</w:t>
      </w:r>
      <w:r w:rsidR="003A0D16">
        <w:t>:</w:t>
      </w:r>
    </w:p>
    <w:p w:rsidR="0012236C" w:rsidRDefault="0012236C" w:rsidP="0012236C">
      <w:pPr>
        <w:pStyle w:val="ListParagraph"/>
        <w:numPr>
          <w:ilvl w:val="0"/>
          <w:numId w:val="39"/>
        </w:numPr>
      </w:pPr>
      <w:r>
        <w:t xml:space="preserve">Associations (often correlations where causation is hard to establish) between </w:t>
      </w:r>
      <w:r w:rsidR="00361483">
        <w:t>aspects of the</w:t>
      </w:r>
      <w:r w:rsidR="006D7D5E">
        <w:t xml:space="preserve"> business environment</w:t>
      </w:r>
      <w:r w:rsidR="00361483">
        <w:t xml:space="preserve"> (most often laws) and a variety of economic and social indicators, and</w:t>
      </w:r>
    </w:p>
    <w:p w:rsidR="00361483" w:rsidRPr="009D3AD0" w:rsidRDefault="00460E4E" w:rsidP="0012236C">
      <w:pPr>
        <w:pStyle w:val="ListParagraph"/>
        <w:numPr>
          <w:ilvl w:val="0"/>
          <w:numId w:val="39"/>
        </w:numPr>
      </w:pPr>
      <w:r>
        <w:t>Output-or outcome</w:t>
      </w:r>
      <w:r w:rsidR="00361483">
        <w:t xml:space="preserve">-level evaluation of projects, measuring success by indicators such as </w:t>
      </w:r>
      <w:r w:rsidR="00023633">
        <w:t xml:space="preserve">laws enacted, or </w:t>
      </w:r>
      <w:r w:rsidR="00361483">
        <w:t>cost or time savings for firms.</w:t>
      </w:r>
    </w:p>
    <w:p w:rsidR="00361483" w:rsidRDefault="00D31F3C" w:rsidP="00361483">
      <w:pPr>
        <w:pStyle w:val="Heading2"/>
      </w:pPr>
      <w:r>
        <w:t>Women’s Legal Rights and Outcomes</w:t>
      </w:r>
    </w:p>
    <w:p w:rsidR="00C551FB" w:rsidRDefault="00C551FB" w:rsidP="00D914CF">
      <w:r>
        <w:t xml:space="preserve">A World Bank study covering 100 countries over 50 years found that progress in </w:t>
      </w:r>
      <w:r w:rsidR="007851CD">
        <w:t xml:space="preserve">areas of legal equality such as </w:t>
      </w:r>
      <w:r>
        <w:t>the ability to access and own property, sign legal documents on one’s own behalf and</w:t>
      </w:r>
      <w:r w:rsidR="00FE166A">
        <w:t xml:space="preserve"> the existence of</w:t>
      </w:r>
      <w:r>
        <w:t xml:space="preserve"> equality provisions in the constitution are associated with improvements in indicators in girls’ education, health outcomes, women’s participation in elected office and female employment, especially</w:t>
      </w:r>
      <w:r w:rsidR="00E80316">
        <w:t xml:space="preserve"> in the</w:t>
      </w:r>
      <w:r>
        <w:t xml:space="preserve"> formal sector and as employers.</w:t>
      </w:r>
      <w:r w:rsidR="007851CD">
        <w:t xml:space="preserve"> </w:t>
      </w:r>
      <w:r>
        <w:t>Correlations are found both between countries and in a single country over a period of time, although this methodology cannot test for causation.</w:t>
      </w:r>
      <w:r w:rsidR="007851CD">
        <w:t xml:space="preserve"> </w:t>
      </w:r>
      <w:r>
        <w:t>The same study finds that the success of reform appears to depend on the level of wealth and rule of law of the target country</w:t>
      </w:r>
      <w:r w:rsidR="003E304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4456"/>
      </w:tblGrid>
      <w:tr w:rsidR="00C551FB" w:rsidTr="00C551FB">
        <w:tc>
          <w:tcPr>
            <w:tcW w:w="4786" w:type="dxa"/>
          </w:tcPr>
          <w:p w:rsidR="00C551FB" w:rsidRDefault="00C551FB" w:rsidP="00D914CF">
            <w:r>
              <w:t>Lower income countries with weaker rule of law:</w:t>
            </w:r>
          </w:p>
        </w:tc>
        <w:tc>
          <w:tcPr>
            <w:tcW w:w="4456" w:type="dxa"/>
          </w:tcPr>
          <w:p w:rsidR="00C551FB" w:rsidRDefault="00C551FB" w:rsidP="00D914CF">
            <w:r>
              <w:t>Greatest success in improving girls’ education and lowering infant mortality</w:t>
            </w:r>
          </w:p>
        </w:tc>
      </w:tr>
      <w:tr w:rsidR="00C551FB" w:rsidTr="00C551FB">
        <w:tc>
          <w:tcPr>
            <w:tcW w:w="4786" w:type="dxa"/>
          </w:tcPr>
          <w:p w:rsidR="00C551FB" w:rsidRDefault="00C551FB" w:rsidP="00D914CF">
            <w:r>
              <w:t>Higher income countries with stronger rule of law:</w:t>
            </w:r>
          </w:p>
        </w:tc>
        <w:tc>
          <w:tcPr>
            <w:tcW w:w="4456" w:type="dxa"/>
          </w:tcPr>
          <w:p w:rsidR="00C551FB" w:rsidRDefault="00C551FB" w:rsidP="00C551FB">
            <w:r>
              <w:t>Greatest success in female labour force participation and off-farm employment</w:t>
            </w:r>
          </w:p>
        </w:tc>
      </w:tr>
    </w:tbl>
    <w:p w:rsidR="00C551FB" w:rsidRDefault="00A32E8C" w:rsidP="00D914CF">
      <w:r>
        <w:t>The World Bank’s</w:t>
      </w:r>
      <w:r w:rsidR="007851CD">
        <w:t xml:space="preserve"> ongoing</w:t>
      </w:r>
      <w:r>
        <w:t xml:space="preserve"> </w:t>
      </w:r>
      <w:r w:rsidRPr="00A32E8C">
        <w:rPr>
          <w:i/>
        </w:rPr>
        <w:t>Women, Business and the Law</w:t>
      </w:r>
      <w:r>
        <w:t xml:space="preserve"> project documents differential legal treatment by gender in 173 countries</w:t>
      </w:r>
      <w:r w:rsidR="00F544FF">
        <w:t xml:space="preserve">, </w:t>
      </w:r>
      <w:r w:rsidR="004A4B81">
        <w:t xml:space="preserve">as well as relevant </w:t>
      </w:r>
      <w:r w:rsidR="00F544FF">
        <w:t>reforms, and social and economic outcomes that are likely to be associated</w:t>
      </w:r>
      <w:r w:rsidR="004A4B81">
        <w:t xml:space="preserve"> with these laws and changes</w:t>
      </w:r>
      <w:r w:rsidR="00F544FF">
        <w:t>.</w:t>
      </w:r>
      <w:r w:rsidR="007851CD">
        <w:t xml:space="preserve"> </w:t>
      </w:r>
      <w:r w:rsidR="00F544FF">
        <w:t xml:space="preserve">Although some of these legal conditions have not traditionally been a common focus of business environment reform projects, </w:t>
      </w:r>
      <w:r w:rsidR="00526C6A">
        <w:t>virtually all</w:t>
      </w:r>
      <w:r w:rsidR="004A4B81">
        <w:t xml:space="preserve"> could be argued to</w:t>
      </w:r>
      <w:r w:rsidR="00526C6A">
        <w:t xml:space="preserve"> fall under the DCED definition of features of the business environment.</w:t>
      </w:r>
    </w:p>
    <w:p w:rsidR="00526C6A" w:rsidRDefault="00526C6A" w:rsidP="00D914CF">
      <w:r>
        <w:t>This body of evidence is reflected in recent and current programming, with an estimated three quarters of gender-sensitive business environment reform projects focusing on policy and the legal framework.</w:t>
      </w:r>
    </w:p>
    <w:p w:rsidR="00034F81" w:rsidRDefault="00034F81" w:rsidP="00034F81">
      <w:pPr>
        <w:pStyle w:val="Heading2"/>
      </w:pPr>
      <w:r>
        <w:t>Childcare</w:t>
      </w:r>
    </w:p>
    <w:p w:rsidR="001E413B" w:rsidRPr="001E413B" w:rsidRDefault="001E413B" w:rsidP="001E413B">
      <w:pPr>
        <w:pStyle w:val="Quote"/>
      </w:pPr>
      <w:r>
        <w:t>Access to affordable childcare is one of the most important constraints preventing more women accessing formal sector employment.  Analysis that is gender aware will make extension of childcare a core business environment priority.</w:t>
      </w:r>
    </w:p>
    <w:p w:rsidR="008D5042" w:rsidRDefault="00634850" w:rsidP="00634850">
      <w:r>
        <w:t xml:space="preserve">Childcare is one area in which there is relatively strong evidence both that childcare support is associated with greater female participation in the workforce, and that government-led programmes have been successful in </w:t>
      </w:r>
      <w:r w:rsidR="008D5042">
        <w:t xml:space="preserve">increasing </w:t>
      </w:r>
      <w:r w:rsidR="00F95248">
        <w:t xml:space="preserve">the provision and </w:t>
      </w:r>
      <w:r w:rsidR="008D5042">
        <w:t>use of childcare.</w:t>
      </w:r>
      <w:r w:rsidR="0017372E">
        <w:rPr>
          <w:rStyle w:val="FootnoteReference"/>
        </w:rPr>
        <w:footnoteReference w:id="4"/>
      </w:r>
      <w:r w:rsidR="007851CD">
        <w:t xml:space="preserve"> </w:t>
      </w:r>
      <w:r w:rsidR="0094425A">
        <w:t>More than twice as many women receive wages in countries where childcare is subsidized or publicly provided.</w:t>
      </w:r>
      <w:r w:rsidR="005B4699">
        <w:rPr>
          <w:rStyle w:val="FootnoteReference"/>
        </w:rPr>
        <w:footnoteReference w:id="5"/>
      </w:r>
      <w:r w:rsidR="007851CD">
        <w:t xml:space="preserve"> </w:t>
      </w:r>
      <w:r w:rsidR="008D5042">
        <w:t xml:space="preserve">It is also an area that has received </w:t>
      </w:r>
      <w:r w:rsidR="00E61B98">
        <w:t xml:space="preserve">relatively </w:t>
      </w:r>
      <w:r w:rsidR="008D5042">
        <w:t>little attention from donors.</w:t>
      </w:r>
      <w:r w:rsidR="007851CD">
        <w:t xml:space="preserve"> </w:t>
      </w:r>
      <w:r w:rsidR="008D5042">
        <w:t>The two main reform areas are</w:t>
      </w:r>
      <w:r w:rsidR="003A0D16">
        <w:t>:</w:t>
      </w:r>
    </w:p>
    <w:p w:rsidR="00634850" w:rsidRDefault="008D5042" w:rsidP="008D5042">
      <w:pPr>
        <w:pStyle w:val="ListParagraph"/>
        <w:numPr>
          <w:ilvl w:val="0"/>
          <w:numId w:val="41"/>
        </w:numPr>
      </w:pPr>
      <w:r>
        <w:lastRenderedPageBreak/>
        <w:t>law</w:t>
      </w:r>
      <w:r w:rsidR="003A0D16">
        <w:t>s</w:t>
      </w:r>
      <w:r>
        <w:t xml:space="preserve"> relating to maternity and paternity leave (how much is a statutory requirement and how is the cost divided between employers and government), and</w:t>
      </w:r>
    </w:p>
    <w:p w:rsidR="008D5042" w:rsidRDefault="008D5042" w:rsidP="008D5042">
      <w:pPr>
        <w:pStyle w:val="ListParagraph"/>
        <w:numPr>
          <w:ilvl w:val="0"/>
          <w:numId w:val="41"/>
        </w:numPr>
      </w:pPr>
      <w:proofErr w:type="gramStart"/>
      <w:r>
        <w:t>fiscal</w:t>
      </w:r>
      <w:proofErr w:type="gramEnd"/>
      <w:r>
        <w:t xml:space="preserve"> policy towards childcare, i.e. whether childcare services receive any form of tax incentive or subsidy.</w:t>
      </w:r>
    </w:p>
    <w:p w:rsidR="006968A8" w:rsidRDefault="00161817" w:rsidP="006968A8">
      <w:r>
        <w:t>Mexico’s Estancias</w:t>
      </w:r>
      <w:r>
        <w:rPr>
          <w:rStyle w:val="FootnoteReference"/>
        </w:rPr>
        <w:footnoteReference w:id="6"/>
      </w:r>
      <w:r>
        <w:t xml:space="preserve"> programme is unusual in that it was created with the explicit aim of increasing women’s labour force participation, rather than to aid child development (although it still contains health and educational components).</w:t>
      </w:r>
      <w:r w:rsidR="007851CD">
        <w:t xml:space="preserve"> </w:t>
      </w:r>
      <w:r>
        <w:t>The project achieved an 18% increase in employment among beneficiary mothers, who on average increased their hours of work by six per week.</w:t>
      </w:r>
      <w:r w:rsidR="00463970">
        <w:rPr>
          <w:rStyle w:val="FootnoteReference"/>
        </w:rPr>
        <w:footnoteReference w:id="7"/>
      </w:r>
    </w:p>
    <w:p w:rsidR="00034F81" w:rsidRDefault="00345CE6" w:rsidP="00345CE6">
      <w:pPr>
        <w:pStyle w:val="Heading2"/>
      </w:pPr>
      <w:r>
        <w:t>Formalisation</w:t>
      </w:r>
    </w:p>
    <w:p w:rsidR="008249D5" w:rsidRDefault="008249D5" w:rsidP="00345CE6">
      <w:r>
        <w:t xml:space="preserve">Policy </w:t>
      </w:r>
      <w:r w:rsidR="006509C9">
        <w:t>to promote the</w:t>
      </w:r>
      <w:r>
        <w:t xml:space="preserve"> formalisation of small businesses is a controversial component of business environment reform</w:t>
      </w:r>
      <w:r w:rsidR="006509C9">
        <w:t xml:space="preserve">. </w:t>
      </w:r>
      <w:r>
        <w:t xml:space="preserve">Tax authorities and existing formal enterprises (who tend to gain disproportionate influence in private sector consultations) </w:t>
      </w:r>
      <w:r w:rsidR="003478B2">
        <w:t xml:space="preserve">can </w:t>
      </w:r>
      <w:r>
        <w:t>form a formidable alliance in favour of expanding the formal sector to ever-smaller operator</w:t>
      </w:r>
      <w:r w:rsidR="001D6AC3">
        <w:t>s</w:t>
      </w:r>
      <w:r>
        <w:t>, whereas richer countries often provide significant exemptions from tax and regulatory requirements for small operators, especially individuals</w:t>
      </w:r>
      <w:r w:rsidR="003478B2">
        <w:t>, to encourage business formation and avoid placing an unrealistic burden on the self-employed</w:t>
      </w:r>
      <w:r>
        <w:t>.</w:t>
      </w:r>
      <w:r w:rsidR="007851CD">
        <w:t xml:space="preserve"> This issue becomes even more complex when a proper gender analysis is included.</w:t>
      </w:r>
    </w:p>
    <w:p w:rsidR="00345CE6" w:rsidRDefault="008249D5" w:rsidP="00345CE6">
      <w:r>
        <w:t>However, in many countries formalisation brings access to important benefits such as maternity leave and paid breastfeeding breaks.</w:t>
      </w:r>
      <w:r w:rsidR="007851CD">
        <w:t xml:space="preserve"> </w:t>
      </w:r>
      <w:r>
        <w:t>Whilst these may be critical to female participation in the workforce, if they are employer-funded they can also act as a disincentive to the employment of women of childbearing age</w:t>
      </w:r>
      <w:r w:rsidR="004E5517">
        <w:t>.</w:t>
      </w:r>
      <w:r w:rsidR="004E5517">
        <w:rPr>
          <w:rStyle w:val="FootnoteReference"/>
        </w:rPr>
        <w:footnoteReference w:id="8"/>
      </w:r>
    </w:p>
    <w:p w:rsidR="004E5517" w:rsidRPr="00345CE6" w:rsidRDefault="004E5517" w:rsidP="00345CE6">
      <w:r>
        <w:t>The ODI point to examples of attempts to address this issue, such as NGOs in India (SEWA) and Bangladesh (BRAC) who offer self-paid maternity insurance for medical costs</w:t>
      </w:r>
      <w:r w:rsidR="00FC7C45">
        <w:t xml:space="preserve"> to informal-sector workers</w:t>
      </w:r>
      <w:r>
        <w:t>, noting that this could be expanded to include time off.</w:t>
      </w:r>
      <w:r w:rsidR="007851CD">
        <w:t xml:space="preserve"> </w:t>
      </w:r>
      <w:r>
        <w:t xml:space="preserve">In India, a cash transfer model </w:t>
      </w:r>
      <w:r w:rsidR="001F55F9">
        <w:t xml:space="preserve">was </w:t>
      </w:r>
      <w:r w:rsidR="00B64EFC">
        <w:t>trialled</w:t>
      </w:r>
      <w:r>
        <w:t xml:space="preserve"> </w:t>
      </w:r>
      <w:r w:rsidR="001F55F9">
        <w:t xml:space="preserve">in 2010 </w:t>
      </w:r>
      <w:r>
        <w:t>which aim</w:t>
      </w:r>
      <w:r w:rsidR="006C40BF">
        <w:t>ed</w:t>
      </w:r>
      <w:r w:rsidR="007851CD">
        <w:t xml:space="preserve"> to partially offset wage loss</w:t>
      </w:r>
      <w:r>
        <w:t>.</w:t>
      </w:r>
      <w:r w:rsidR="007851CD">
        <w:rPr>
          <w:rStyle w:val="FootnoteReference"/>
        </w:rPr>
        <w:footnoteReference w:id="9"/>
      </w:r>
    </w:p>
    <w:p w:rsidR="00526C6A" w:rsidRPr="00526C6A" w:rsidRDefault="00526C6A" w:rsidP="00526C6A">
      <w:pPr>
        <w:pStyle w:val="Heading1"/>
      </w:pPr>
      <w:r>
        <w:t>Innovation and Learning</w:t>
      </w:r>
    </w:p>
    <w:p w:rsidR="00345CE6" w:rsidRPr="00345CE6" w:rsidRDefault="007851CD" w:rsidP="00345CE6">
      <w:bookmarkStart w:id="0" w:name="_GoBack"/>
      <w:r>
        <w:t xml:space="preserve">One of the key lessons to come out of recent projects is to establish </w:t>
      </w:r>
      <w:proofErr w:type="gramStart"/>
      <w:r>
        <w:t>an openness</w:t>
      </w:r>
      <w:proofErr w:type="gramEnd"/>
      <w:r>
        <w:t xml:space="preserve"> to sub-national experimentation in implementation, and try to encourage or provide mechanisms for early successes to be reported and rolled out more widely.  This is perhaps unsurprising, g</w:t>
      </w:r>
      <w:r w:rsidR="00345CE6">
        <w:t xml:space="preserve">iven the limitations in </w:t>
      </w:r>
      <w:r>
        <w:t xml:space="preserve">existing </w:t>
      </w:r>
      <w:r w:rsidR="00345CE6">
        <w:t xml:space="preserve">evidence, and the need for projects to be tailored to local </w:t>
      </w:r>
      <w:bookmarkEnd w:id="0"/>
      <w:r w:rsidR="00345CE6">
        <w:t>contexts.</w:t>
      </w:r>
      <w:r>
        <w:t xml:space="preserve"> </w:t>
      </w:r>
      <w:r w:rsidR="00345CE6">
        <w:t xml:space="preserve">The GREAT </w:t>
      </w:r>
      <w:proofErr w:type="gramStart"/>
      <w:r w:rsidR="00345CE6">
        <w:t>Women</w:t>
      </w:r>
      <w:r w:rsidR="00956A41">
        <w:rPr>
          <w:rStyle w:val="FootnoteReference"/>
        </w:rPr>
        <w:footnoteReference w:id="10"/>
      </w:r>
      <w:r w:rsidR="00345CE6">
        <w:t xml:space="preserve"> project in the Philippines and the ALCP</w:t>
      </w:r>
      <w:r w:rsidR="00345CE6">
        <w:rPr>
          <w:rStyle w:val="FootnoteReference"/>
        </w:rPr>
        <w:footnoteReference w:id="11"/>
      </w:r>
      <w:r w:rsidR="00345CE6">
        <w:t xml:space="preserve"> in Georgia have</w:t>
      </w:r>
      <w:proofErr w:type="gramEnd"/>
      <w:r w:rsidR="00345CE6">
        <w:t xml:space="preserve"> both</w:t>
      </w:r>
      <w:r w:rsidR="00956A41">
        <w:t xml:space="preserve"> been able to identify successful innovations and to find avenues to re</w:t>
      </w:r>
      <w:r w:rsidR="00B64EFC">
        <w:t>-</w:t>
      </w:r>
      <w:r w:rsidR="00956A41">
        <w:t>apply that knowledge in other geographic areas within the project cycle.</w:t>
      </w:r>
    </w:p>
    <w:sectPr w:rsidR="00345CE6" w:rsidRPr="00345CE6" w:rsidSect="00807AC0">
      <w:headerReference w:type="default" r:id="rId11"/>
      <w:footerReference w:type="default" r:id="rId12"/>
      <w:pgSz w:w="11906" w:h="16838" w:code="9"/>
      <w:pgMar w:top="1985" w:right="1440" w:bottom="1134" w:left="1440" w:header="851" w:footer="567"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AB2BCB" w15:done="0"/>
  <w15:commentEx w15:paraId="5DBBE795" w15:done="0"/>
  <w15:commentEx w15:paraId="0CB01AFF" w15:done="0"/>
  <w15:commentEx w15:paraId="5B085046" w15:done="0"/>
  <w15:commentEx w15:paraId="68FC6AA3" w15:done="0"/>
  <w15:commentEx w15:paraId="3693ED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0B88" w:rsidRDefault="009F0B88" w:rsidP="00074D5A">
      <w:pPr>
        <w:spacing w:after="0"/>
      </w:pPr>
      <w:r>
        <w:separator/>
      </w:r>
    </w:p>
  </w:endnote>
  <w:endnote w:type="continuationSeparator" w:id="0">
    <w:p w:rsidR="009F0B88" w:rsidRDefault="009F0B88" w:rsidP="00074D5A">
      <w:pPr>
        <w:spacing w:after="0"/>
      </w:pPr>
      <w:r>
        <w:continuationSeparator/>
      </w:r>
    </w:p>
  </w:endnote>
  <w:endnote w:type="continuationNotice" w:id="1">
    <w:p w:rsidR="009F0B88" w:rsidRDefault="009F0B88">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45 Light">
    <w:charset w:val="00"/>
    <w:family w:val="auto"/>
    <w:pitch w:val="variable"/>
    <w:sig w:usb0="8000002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3084792"/>
      <w:docPartObj>
        <w:docPartGallery w:val="Page Numbers (Bottom of Page)"/>
        <w:docPartUnique/>
      </w:docPartObj>
    </w:sdtPr>
    <w:sdtEndPr>
      <w:rPr>
        <w:noProof/>
      </w:rPr>
    </w:sdtEndPr>
    <w:sdtContent>
      <w:p w:rsidR="00F50FFC" w:rsidRDefault="001F3C87">
        <w:pPr>
          <w:pStyle w:val="Footer"/>
          <w:jc w:val="right"/>
        </w:pPr>
        <w:r>
          <w:fldChar w:fldCharType="begin"/>
        </w:r>
        <w:r w:rsidR="00CF23F0">
          <w:instrText xml:space="preserve"> PAGE   \* MERGEFORMAT </w:instrText>
        </w:r>
        <w:r>
          <w:fldChar w:fldCharType="separate"/>
        </w:r>
        <w:r w:rsidR="004A4AC9">
          <w:rPr>
            <w:noProof/>
          </w:rPr>
          <w:t>1</w:t>
        </w:r>
        <w:r>
          <w:rPr>
            <w:noProof/>
          </w:rPr>
          <w:fldChar w:fldCharType="end"/>
        </w:r>
      </w:p>
    </w:sdtContent>
  </w:sdt>
  <w:p w:rsidR="00F50FFC" w:rsidRDefault="00F50F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0B88" w:rsidRDefault="009F0B88" w:rsidP="00074D5A">
      <w:pPr>
        <w:spacing w:after="0"/>
      </w:pPr>
      <w:r>
        <w:separator/>
      </w:r>
    </w:p>
  </w:footnote>
  <w:footnote w:type="continuationSeparator" w:id="0">
    <w:p w:rsidR="009F0B88" w:rsidRDefault="009F0B88" w:rsidP="00074D5A">
      <w:pPr>
        <w:spacing w:after="0"/>
      </w:pPr>
      <w:r>
        <w:continuationSeparator/>
      </w:r>
    </w:p>
  </w:footnote>
  <w:footnote w:type="continuationNotice" w:id="1">
    <w:p w:rsidR="009F0B88" w:rsidRDefault="009F0B88">
      <w:pPr>
        <w:spacing w:after="0"/>
      </w:pPr>
    </w:p>
  </w:footnote>
  <w:footnote w:id="2">
    <w:p w:rsidR="006D7D5E" w:rsidRPr="003A0D16" w:rsidRDefault="006D7D5E" w:rsidP="006D7D5E">
      <w:pPr>
        <w:pStyle w:val="FootnoteText"/>
        <w:rPr>
          <w:rFonts w:ascii="Arial" w:hAnsi="Arial" w:cs="Arial"/>
          <w:sz w:val="16"/>
        </w:rPr>
      </w:pPr>
      <w:r>
        <w:rPr>
          <w:rStyle w:val="FootnoteReference"/>
        </w:rPr>
        <w:footnoteRef/>
      </w:r>
      <w:r>
        <w:t xml:space="preserve"> </w:t>
      </w:r>
      <w:r w:rsidRPr="003A0D16">
        <w:rPr>
          <w:rFonts w:ascii="Arial" w:hAnsi="Arial" w:cs="Arial"/>
          <w:sz w:val="16"/>
        </w:rPr>
        <w:t>See pp 14–5.</w:t>
      </w:r>
    </w:p>
  </w:footnote>
  <w:footnote w:id="3">
    <w:p w:rsidR="00F50FFC" w:rsidRPr="003A0D16" w:rsidRDefault="00F50FFC">
      <w:pPr>
        <w:pStyle w:val="FootnoteText"/>
        <w:rPr>
          <w:rFonts w:ascii="Arial" w:hAnsi="Arial" w:cs="Arial"/>
          <w:sz w:val="16"/>
        </w:rPr>
      </w:pPr>
      <w:r>
        <w:rPr>
          <w:rStyle w:val="FootnoteReference"/>
        </w:rPr>
        <w:footnoteRef/>
      </w:r>
      <w:r>
        <w:t xml:space="preserve"> </w:t>
      </w:r>
      <w:proofErr w:type="gramStart"/>
      <w:r w:rsidRPr="003A0D16">
        <w:rPr>
          <w:rFonts w:ascii="Arial" w:hAnsi="Arial" w:cs="Arial"/>
          <w:sz w:val="16"/>
        </w:rPr>
        <w:t>IEG, 2014, pp140–1.</w:t>
      </w:r>
      <w:proofErr w:type="gramEnd"/>
    </w:p>
  </w:footnote>
  <w:footnote w:id="4">
    <w:p w:rsidR="0017372E" w:rsidRDefault="0017372E">
      <w:pPr>
        <w:pStyle w:val="FootnoteText"/>
      </w:pPr>
      <w:r w:rsidRPr="003A0D16">
        <w:rPr>
          <w:rStyle w:val="FootnoteReference"/>
          <w:rFonts w:ascii="Arial" w:hAnsi="Arial" w:cs="Arial"/>
          <w:sz w:val="16"/>
        </w:rPr>
        <w:footnoteRef/>
      </w:r>
      <w:r w:rsidRPr="003A0D16">
        <w:rPr>
          <w:rFonts w:ascii="Arial" w:hAnsi="Arial" w:cs="Arial"/>
          <w:sz w:val="16"/>
        </w:rPr>
        <w:t xml:space="preserve"> E.g. in South Africa, see </w:t>
      </w:r>
      <w:proofErr w:type="spellStart"/>
      <w:r w:rsidR="00CC5761" w:rsidRPr="003A0D16">
        <w:rPr>
          <w:rFonts w:ascii="Arial" w:hAnsi="Arial" w:cs="Arial"/>
          <w:sz w:val="16"/>
        </w:rPr>
        <w:t>Samman</w:t>
      </w:r>
      <w:proofErr w:type="spellEnd"/>
      <w:r w:rsidR="00CC5761" w:rsidRPr="003A0D16">
        <w:rPr>
          <w:rFonts w:ascii="Arial" w:hAnsi="Arial" w:cs="Arial"/>
          <w:sz w:val="16"/>
        </w:rPr>
        <w:t xml:space="preserve"> et al, 2016, p70.</w:t>
      </w:r>
    </w:p>
  </w:footnote>
  <w:footnote w:id="5">
    <w:p w:rsidR="005B4699" w:rsidRPr="004E69A3" w:rsidRDefault="005B4699">
      <w:pPr>
        <w:pStyle w:val="FootnoteText"/>
        <w:rPr>
          <w:rFonts w:ascii="Arial" w:hAnsi="Arial" w:cs="Arial"/>
          <w:sz w:val="16"/>
        </w:rPr>
      </w:pPr>
      <w:r>
        <w:rPr>
          <w:rStyle w:val="FootnoteReference"/>
        </w:rPr>
        <w:footnoteRef/>
      </w:r>
      <w:r>
        <w:t xml:space="preserve"> </w:t>
      </w:r>
      <w:r w:rsidRPr="004E69A3">
        <w:rPr>
          <w:rFonts w:ascii="Arial" w:hAnsi="Arial" w:cs="Arial"/>
          <w:sz w:val="16"/>
        </w:rPr>
        <w:t>World Bank Group, 2015, p17.</w:t>
      </w:r>
    </w:p>
  </w:footnote>
  <w:footnote w:id="6">
    <w:p w:rsidR="00F50FFC" w:rsidRPr="004E69A3" w:rsidRDefault="00F50FFC">
      <w:pPr>
        <w:pStyle w:val="FootnoteText"/>
        <w:rPr>
          <w:rFonts w:ascii="Arial" w:hAnsi="Arial" w:cs="Arial"/>
          <w:sz w:val="16"/>
        </w:rPr>
      </w:pPr>
      <w:r w:rsidRPr="004E69A3">
        <w:rPr>
          <w:rStyle w:val="FootnoteReference"/>
          <w:rFonts w:ascii="Arial" w:hAnsi="Arial" w:cs="Arial"/>
          <w:sz w:val="16"/>
        </w:rPr>
        <w:footnoteRef/>
      </w:r>
      <w:r w:rsidRPr="004E69A3">
        <w:rPr>
          <w:rFonts w:ascii="Arial" w:hAnsi="Arial" w:cs="Arial"/>
          <w:sz w:val="16"/>
        </w:rPr>
        <w:t xml:space="preserve"> </w:t>
      </w:r>
      <w:r w:rsidRPr="00310C8E">
        <w:rPr>
          <w:rFonts w:ascii="Arial" w:hAnsi="Arial" w:cs="Arial"/>
          <w:sz w:val="16"/>
        </w:rPr>
        <w:t>Estancias Infantiles para Apoyar a Madres Trabajadores</w:t>
      </w:r>
      <w:r w:rsidR="00CC5761" w:rsidRPr="004E69A3">
        <w:rPr>
          <w:rFonts w:ascii="Arial" w:hAnsi="Arial" w:cs="Arial"/>
          <w:sz w:val="16"/>
        </w:rPr>
        <w:t xml:space="preserve">, see for instance </w:t>
      </w:r>
      <w:proofErr w:type="spellStart"/>
      <w:r w:rsidR="00CC5761" w:rsidRPr="004E69A3">
        <w:rPr>
          <w:rFonts w:ascii="Arial" w:hAnsi="Arial" w:cs="Arial"/>
          <w:sz w:val="16"/>
        </w:rPr>
        <w:t>Samman</w:t>
      </w:r>
      <w:proofErr w:type="spellEnd"/>
      <w:r w:rsidR="00CC5761" w:rsidRPr="004E69A3">
        <w:rPr>
          <w:rFonts w:ascii="Arial" w:hAnsi="Arial" w:cs="Arial"/>
          <w:sz w:val="16"/>
        </w:rPr>
        <w:t xml:space="preserve"> et al</w:t>
      </w:r>
      <w:r w:rsidRPr="004E69A3">
        <w:rPr>
          <w:rFonts w:ascii="Arial" w:hAnsi="Arial" w:cs="Arial"/>
          <w:sz w:val="16"/>
        </w:rPr>
        <w:t>, 2016, p72.</w:t>
      </w:r>
    </w:p>
  </w:footnote>
  <w:footnote w:id="7">
    <w:p w:rsidR="00F50FFC" w:rsidRPr="004E69A3" w:rsidRDefault="00F50FFC">
      <w:pPr>
        <w:pStyle w:val="FootnoteText"/>
        <w:rPr>
          <w:rFonts w:ascii="Arial" w:hAnsi="Arial" w:cs="Arial"/>
          <w:sz w:val="16"/>
        </w:rPr>
      </w:pPr>
      <w:r w:rsidRPr="004E69A3">
        <w:rPr>
          <w:rStyle w:val="FootnoteReference"/>
          <w:rFonts w:ascii="Arial" w:hAnsi="Arial" w:cs="Arial"/>
          <w:sz w:val="16"/>
        </w:rPr>
        <w:footnoteRef/>
      </w:r>
      <w:r w:rsidRPr="004E69A3">
        <w:rPr>
          <w:rFonts w:ascii="Arial" w:hAnsi="Arial" w:cs="Arial"/>
          <w:sz w:val="16"/>
        </w:rPr>
        <w:t xml:space="preserve"> This statistic is misreported in the ODI policy brief; the correct figure can be found in the full report.</w:t>
      </w:r>
    </w:p>
  </w:footnote>
  <w:footnote w:id="8">
    <w:p w:rsidR="00F50FFC" w:rsidRPr="004E69A3" w:rsidRDefault="00F50FFC" w:rsidP="004E5517">
      <w:pPr>
        <w:pStyle w:val="FootnoteText"/>
        <w:rPr>
          <w:rFonts w:ascii="Arial" w:hAnsi="Arial" w:cs="Arial"/>
          <w:sz w:val="16"/>
        </w:rPr>
      </w:pPr>
      <w:r w:rsidRPr="004E69A3">
        <w:rPr>
          <w:rStyle w:val="FootnoteReference"/>
          <w:rFonts w:ascii="Arial" w:hAnsi="Arial" w:cs="Arial"/>
          <w:sz w:val="16"/>
        </w:rPr>
        <w:footnoteRef/>
      </w:r>
      <w:r w:rsidRPr="004E69A3">
        <w:rPr>
          <w:rFonts w:ascii="Arial" w:hAnsi="Arial" w:cs="Arial"/>
          <w:sz w:val="16"/>
        </w:rPr>
        <w:t xml:space="preserve"> “In Uganda, research has shown that well-intentioned </w:t>
      </w:r>
      <w:r w:rsidR="004E69A3" w:rsidRPr="004E69A3">
        <w:rPr>
          <w:rFonts w:ascii="Arial" w:hAnsi="Arial" w:cs="Arial"/>
          <w:sz w:val="16"/>
        </w:rPr>
        <w:t>labour</w:t>
      </w:r>
      <w:r w:rsidRPr="004E69A3">
        <w:rPr>
          <w:rFonts w:ascii="Arial" w:hAnsi="Arial" w:cs="Arial"/>
          <w:sz w:val="16"/>
        </w:rPr>
        <w:t xml:space="preserve"> reform to provide two months maternity leave (one month paid) would have been prohibitive for many smaller employers and would have discouraged them from hiring women of child bearing age.” (</w:t>
      </w:r>
      <w:proofErr w:type="spellStart"/>
      <w:r w:rsidRPr="004E69A3">
        <w:rPr>
          <w:rFonts w:ascii="Arial" w:hAnsi="Arial" w:cs="Arial"/>
          <w:sz w:val="16"/>
        </w:rPr>
        <w:t>Simani</w:t>
      </w:r>
      <w:proofErr w:type="spellEnd"/>
      <w:r w:rsidRPr="004E69A3">
        <w:rPr>
          <w:rFonts w:ascii="Arial" w:hAnsi="Arial" w:cs="Arial"/>
          <w:sz w:val="16"/>
        </w:rPr>
        <w:t>, 2010, p192)</w:t>
      </w:r>
    </w:p>
  </w:footnote>
  <w:footnote w:id="9">
    <w:p w:rsidR="007851CD" w:rsidRDefault="007851CD">
      <w:pPr>
        <w:pStyle w:val="FootnoteText"/>
      </w:pPr>
      <w:r>
        <w:rPr>
          <w:rStyle w:val="FootnoteReference"/>
        </w:rPr>
        <w:footnoteRef/>
      </w:r>
      <w:r>
        <w:t xml:space="preserve"> </w:t>
      </w:r>
      <w:proofErr w:type="spellStart"/>
      <w:r>
        <w:t>Samman</w:t>
      </w:r>
      <w:proofErr w:type="spellEnd"/>
      <w:r>
        <w:t xml:space="preserve"> et al, 2016, p70</w:t>
      </w:r>
    </w:p>
  </w:footnote>
  <w:footnote w:id="10">
    <w:p w:rsidR="00F50FFC" w:rsidRPr="004E69A3" w:rsidRDefault="00F50FFC" w:rsidP="00956A41">
      <w:pPr>
        <w:pStyle w:val="FootnoteText"/>
        <w:rPr>
          <w:rFonts w:ascii="Arial" w:hAnsi="Arial" w:cs="Arial"/>
          <w:sz w:val="16"/>
        </w:rPr>
      </w:pPr>
      <w:r w:rsidRPr="004E69A3">
        <w:rPr>
          <w:rStyle w:val="FootnoteReference"/>
          <w:rFonts w:ascii="Arial" w:hAnsi="Arial" w:cs="Arial"/>
          <w:sz w:val="16"/>
        </w:rPr>
        <w:footnoteRef/>
      </w:r>
      <w:r w:rsidRPr="004E69A3">
        <w:rPr>
          <w:rFonts w:ascii="Arial" w:hAnsi="Arial" w:cs="Arial"/>
          <w:sz w:val="16"/>
        </w:rPr>
        <w:t xml:space="preserve"> Gender-Responsive Economic Actions for the Transformation of Women, </w:t>
      </w:r>
      <w:hyperlink r:id="rId1" w:history="1">
        <w:r w:rsidR="00406A81" w:rsidRPr="004E69A3">
          <w:rPr>
            <w:rStyle w:val="Hyperlink"/>
            <w:rFonts w:ascii="Arial" w:hAnsi="Arial" w:cs="Arial"/>
            <w:sz w:val="16"/>
          </w:rPr>
          <w:t>http://www.pcw.gov.ph/gwp/</w:t>
        </w:r>
      </w:hyperlink>
      <w:r w:rsidR="00406A81" w:rsidRPr="004E69A3">
        <w:rPr>
          <w:rFonts w:ascii="Arial" w:hAnsi="Arial" w:cs="Arial"/>
          <w:sz w:val="16"/>
        </w:rPr>
        <w:t>.</w:t>
      </w:r>
      <w:r w:rsidR="007851CD">
        <w:rPr>
          <w:rFonts w:ascii="Arial" w:hAnsi="Arial" w:cs="Arial"/>
          <w:sz w:val="16"/>
        </w:rPr>
        <w:t xml:space="preserve"> </w:t>
      </w:r>
      <w:r w:rsidR="00406A81" w:rsidRPr="004E69A3">
        <w:rPr>
          <w:rFonts w:ascii="Arial" w:hAnsi="Arial" w:cs="Arial"/>
          <w:sz w:val="16"/>
        </w:rPr>
        <w:t>In this instance beneficiaries raised the issue that national health insurance was not available to female-headed households, which the programme addressed and then expanded nationally.</w:t>
      </w:r>
    </w:p>
  </w:footnote>
  <w:footnote w:id="11">
    <w:p w:rsidR="00F50FFC" w:rsidRPr="004E69A3" w:rsidRDefault="00F50FFC">
      <w:pPr>
        <w:pStyle w:val="FootnoteText"/>
        <w:rPr>
          <w:rFonts w:ascii="Arial" w:hAnsi="Arial" w:cs="Arial"/>
          <w:sz w:val="16"/>
        </w:rPr>
      </w:pPr>
      <w:r w:rsidRPr="004E69A3">
        <w:rPr>
          <w:rStyle w:val="FootnoteReference"/>
          <w:rFonts w:ascii="Arial" w:hAnsi="Arial" w:cs="Arial"/>
          <w:sz w:val="16"/>
        </w:rPr>
        <w:footnoteRef/>
      </w:r>
      <w:r w:rsidRPr="004E69A3">
        <w:rPr>
          <w:rFonts w:ascii="Arial" w:hAnsi="Arial" w:cs="Arial"/>
          <w:sz w:val="16"/>
        </w:rPr>
        <w:t xml:space="preserve"> Alliances Lesser Caucasus Programme, http://alcp.ge/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FC" w:rsidRDefault="00F50FFC" w:rsidP="00D914CF">
    <w:pPr>
      <w:pStyle w:val="Header"/>
      <w:spacing w:before="0" w:line="240" w:lineRule="auto"/>
      <w:ind w:firstLine="2160"/>
      <w:jc w:val="right"/>
      <w:rPr>
        <w:color w:val="2E74B5" w:themeColor="accent1" w:themeShade="BF"/>
        <w:szCs w:val="20"/>
      </w:rPr>
    </w:pPr>
    <w:r w:rsidRPr="001016E5">
      <w:rPr>
        <w:noProof/>
        <w:color w:val="2E74B5" w:themeColor="accent1" w:themeShade="BF"/>
        <w:szCs w:val="20"/>
        <w:lang w:eastAsia="en-GB"/>
      </w:rPr>
      <w:drawing>
        <wp:anchor distT="0" distB="0" distL="114300" distR="114300" simplePos="0" relativeHeight="251658240" behindDoc="1" locked="0" layoutInCell="1" allowOverlap="1">
          <wp:simplePos x="0" y="0"/>
          <wp:positionH relativeFrom="margin">
            <wp:posOffset>-69011</wp:posOffset>
          </wp:positionH>
          <wp:positionV relativeFrom="paragraph">
            <wp:posOffset>-245110</wp:posOffset>
          </wp:positionV>
          <wp:extent cx="1129086" cy="734573"/>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903" t="13739" r="17564" b="21775"/>
                  <a:stretch/>
                </pic:blipFill>
                <pic:spPr bwMode="auto">
                  <a:xfrm>
                    <a:off x="0" y="0"/>
                    <a:ext cx="1129086" cy="73457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color w:val="2E74B5" w:themeColor="accent1" w:themeShade="BF"/>
        <w:szCs w:val="20"/>
      </w:rPr>
      <w:t>Evidence and Learning Note on Gender and Business Environment</w:t>
    </w:r>
  </w:p>
  <w:p w:rsidR="00F50FFC" w:rsidRDefault="00F50FFC" w:rsidP="00B86087">
    <w:pPr>
      <w:pStyle w:val="Header"/>
      <w:jc w:val="right"/>
      <w:rPr>
        <w:color w:val="2E74B5" w:themeColor="accent1" w:themeShade="BF"/>
        <w:szCs w:val="20"/>
      </w:rPr>
    </w:pPr>
    <w:r>
      <w:rPr>
        <w:color w:val="2E74B5" w:themeColor="accent1" w:themeShade="BF"/>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B4E62"/>
    <w:multiLevelType w:val="hybridMultilevel"/>
    <w:tmpl w:val="BB7E5C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CB0385"/>
    <w:multiLevelType w:val="hybridMultilevel"/>
    <w:tmpl w:val="4DE253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9F82712"/>
    <w:multiLevelType w:val="hybridMultilevel"/>
    <w:tmpl w:val="126AC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99352C"/>
    <w:multiLevelType w:val="hybridMultilevel"/>
    <w:tmpl w:val="3738C2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39410A"/>
    <w:multiLevelType w:val="hybridMultilevel"/>
    <w:tmpl w:val="CC020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3168A1"/>
    <w:multiLevelType w:val="hybridMultilevel"/>
    <w:tmpl w:val="8FF63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026C98"/>
    <w:multiLevelType w:val="hybridMultilevel"/>
    <w:tmpl w:val="D5C8106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96216A"/>
    <w:multiLevelType w:val="hybridMultilevel"/>
    <w:tmpl w:val="18362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7DB3A13"/>
    <w:multiLevelType w:val="multilevel"/>
    <w:tmpl w:val="FACCEED6"/>
    <w:lvl w:ilvl="0">
      <w:start w:val="1"/>
      <w:numFmt w:val="decimal"/>
      <w:pStyle w:val="Termslevel1"/>
      <w:lvlText w:val="%1"/>
      <w:lvlJc w:val="left"/>
      <w:pPr>
        <w:ind w:left="360" w:hanging="360"/>
      </w:pPr>
      <w:rPr>
        <w:rFonts w:hint="default"/>
        <w:b/>
        <w:i w:val="0"/>
        <w:color w:val="auto"/>
        <w:sz w:val="17"/>
      </w:rPr>
    </w:lvl>
    <w:lvl w:ilvl="1">
      <w:start w:val="1"/>
      <w:numFmt w:val="decimal"/>
      <w:pStyle w:val="Termslevel2"/>
      <w:lvlText w:val="%1.%2"/>
      <w:lvlJc w:val="left"/>
      <w:pPr>
        <w:tabs>
          <w:tab w:val="num" w:pos="340"/>
        </w:tabs>
        <w:ind w:left="340" w:hanging="340"/>
      </w:pPr>
      <w:rPr>
        <w:rFonts w:ascii="Univers 45 Light" w:hAnsi="Univers 45 Light" w:hint="default"/>
        <w:b w:val="0"/>
        <w:i w:val="0"/>
        <w:color w:val="auto"/>
        <w:sz w:val="14"/>
      </w:rPr>
    </w:lvl>
    <w:lvl w:ilvl="2">
      <w:start w:val="1"/>
      <w:numFmt w:val="decimal"/>
      <w:pStyle w:val="Termslevel3"/>
      <w:lvlText w:val="%1.%2.%3"/>
      <w:lvlJc w:val="left"/>
      <w:pPr>
        <w:tabs>
          <w:tab w:val="num" w:pos="737"/>
        </w:tabs>
        <w:ind w:left="737" w:hanging="397"/>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9">
    <w:nsid w:val="2AAF2408"/>
    <w:multiLevelType w:val="hybridMultilevel"/>
    <w:tmpl w:val="FA98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A85B17"/>
    <w:multiLevelType w:val="hybridMultilevel"/>
    <w:tmpl w:val="915E3D04"/>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30480810"/>
    <w:multiLevelType w:val="hybridMultilevel"/>
    <w:tmpl w:val="DC600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0666F45"/>
    <w:multiLevelType w:val="multilevel"/>
    <w:tmpl w:val="4164FDCA"/>
    <w:lvl w:ilvl="0">
      <w:start w:val="1"/>
      <w:numFmt w:val="decimal"/>
      <w:pStyle w:val="Bulletnumb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7CC4C3B"/>
    <w:multiLevelType w:val="hybridMultilevel"/>
    <w:tmpl w:val="C43CCAB4"/>
    <w:lvl w:ilvl="0" w:tplc="EACC1C00">
      <w:start w:val="1"/>
      <w:numFmt w:val="decimal"/>
      <w:pStyle w:val="Numbering"/>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3959524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FB71D6A"/>
    <w:multiLevelType w:val="multilevel"/>
    <w:tmpl w:val="54C8E490"/>
    <w:lvl w:ilvl="0">
      <w:start w:val="1"/>
      <w:numFmt w:val="decimal"/>
      <w:pStyle w:val="Heading1"/>
      <w:lvlText w:val="%1."/>
      <w:lvlJc w:val="left"/>
      <w:pPr>
        <w:ind w:left="360" w:hanging="360"/>
      </w:pPr>
      <w:rPr>
        <w:rFonts w:ascii="Arial" w:hAnsi="Arial" w:hint="default"/>
        <w:b/>
        <w:i w:val="0"/>
        <w:caps w:val="0"/>
        <w:strike w:val="0"/>
        <w:dstrike w:val="0"/>
        <w:vanish w:val="0"/>
        <w:sz w:val="22"/>
        <w:vertAlign w:val="baseli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0F81E32"/>
    <w:multiLevelType w:val="hybridMultilevel"/>
    <w:tmpl w:val="A8B4A704"/>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481F0326"/>
    <w:multiLevelType w:val="hybridMultilevel"/>
    <w:tmpl w:val="F648CF96"/>
    <w:lvl w:ilvl="0" w:tplc="04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9550629"/>
    <w:multiLevelType w:val="hybridMultilevel"/>
    <w:tmpl w:val="EF82E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0A493B"/>
    <w:multiLevelType w:val="hybridMultilevel"/>
    <w:tmpl w:val="2486A8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DEE77FB"/>
    <w:multiLevelType w:val="hybridMultilevel"/>
    <w:tmpl w:val="48E040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0F57D07"/>
    <w:multiLevelType w:val="hybridMultilevel"/>
    <w:tmpl w:val="9E500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B5A5188"/>
    <w:multiLevelType w:val="hybridMultilevel"/>
    <w:tmpl w:val="31B42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E483E26"/>
    <w:multiLevelType w:val="hybridMultilevel"/>
    <w:tmpl w:val="E5BC172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4">
    <w:nsid w:val="5FB85D00"/>
    <w:multiLevelType w:val="hybridMultilevel"/>
    <w:tmpl w:val="208A9086"/>
    <w:lvl w:ilvl="0" w:tplc="08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604E4956"/>
    <w:multiLevelType w:val="hybridMultilevel"/>
    <w:tmpl w:val="62E08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1926CF4"/>
    <w:multiLevelType w:val="multilevel"/>
    <w:tmpl w:val="458A0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1C46EE9"/>
    <w:multiLevelType w:val="hybridMultilevel"/>
    <w:tmpl w:val="7A601F86"/>
    <w:lvl w:ilvl="0" w:tplc="04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66504DB8"/>
    <w:multiLevelType w:val="hybridMultilevel"/>
    <w:tmpl w:val="CDD2AEA2"/>
    <w:lvl w:ilvl="0" w:tplc="2F5677E4">
      <w:start w:val="1"/>
      <w:numFmt w:val="bullet"/>
      <w:pStyle w:val="Bullets"/>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72708FB"/>
    <w:multiLevelType w:val="multilevel"/>
    <w:tmpl w:val="FBDCDAFE"/>
    <w:lvl w:ilvl="0">
      <w:start w:val="1"/>
      <w:numFmt w:val="bullet"/>
      <w:pStyle w:val="Bullet"/>
      <w:lvlText w:val=""/>
      <w:lvlJc w:val="left"/>
      <w:pPr>
        <w:ind w:left="284" w:hanging="284"/>
      </w:pPr>
      <w:rPr>
        <w:rFonts w:ascii="Symbol" w:hAnsi="Symbol" w:hint="default"/>
        <w:color w:val="FFC000" w:themeColor="accent4"/>
        <w:sz w:val="24"/>
      </w:rPr>
    </w:lvl>
    <w:lvl w:ilvl="1">
      <w:start w:val="1"/>
      <w:numFmt w:val="bullet"/>
      <w:lvlText w:val="–"/>
      <w:lvlJc w:val="left"/>
      <w:pPr>
        <w:ind w:left="567" w:hanging="283"/>
      </w:pPr>
      <w:rPr>
        <w:rFonts w:ascii="Arial" w:hAnsi="Arial" w:hint="default"/>
        <w:color w:val="ED7D31"/>
      </w:rPr>
    </w:lvl>
    <w:lvl w:ilvl="2">
      <w:start w:val="1"/>
      <w:numFmt w:val="bullet"/>
      <w:lvlRestart w:val="1"/>
      <w:lvlText w:val=""/>
      <w:lvlJc w:val="left"/>
      <w:pPr>
        <w:tabs>
          <w:tab w:val="num" w:pos="851"/>
        </w:tabs>
        <w:ind w:left="851" w:hanging="284"/>
      </w:pPr>
      <w:rPr>
        <w:rFonts w:ascii="Symbol" w:hAnsi="Symbol" w:hint="default"/>
        <w:color w:val="ED7D31"/>
        <w:sz w:val="24"/>
      </w:rPr>
    </w:lvl>
    <w:lvl w:ilvl="3">
      <w:start w:val="1"/>
      <w:numFmt w:val="bullet"/>
      <w:lvlText w:val="–"/>
      <w:lvlJc w:val="left"/>
      <w:pPr>
        <w:ind w:left="1134" w:hanging="283"/>
      </w:pPr>
      <w:rPr>
        <w:rFonts w:ascii="Arial" w:hAnsi="Arial" w:hint="default"/>
        <w:color w:val="ED7D31"/>
      </w:rPr>
    </w:lvl>
    <w:lvl w:ilvl="4">
      <w:start w:val="1"/>
      <w:numFmt w:val="bullet"/>
      <w:lvlText w:val=""/>
      <w:lvlJc w:val="left"/>
      <w:pPr>
        <w:ind w:left="1418" w:hanging="284"/>
      </w:pPr>
      <w:rPr>
        <w:rFonts w:ascii="Symbol" w:hAnsi="Symbol" w:hint="default"/>
        <w:color w:val="ED7D31"/>
        <w:sz w:val="24"/>
      </w:rPr>
    </w:lvl>
    <w:lvl w:ilvl="5">
      <w:start w:val="1"/>
      <w:numFmt w:val="bullet"/>
      <w:lvlText w:val="–"/>
      <w:lvlJc w:val="left"/>
      <w:pPr>
        <w:ind w:left="1701" w:hanging="283"/>
      </w:pPr>
      <w:rPr>
        <w:rFonts w:ascii="Arial" w:hAnsi="Arial" w:hint="default"/>
        <w:color w:val="ED7D31"/>
      </w:rPr>
    </w:lvl>
    <w:lvl w:ilvl="6">
      <w:start w:val="1"/>
      <w:numFmt w:val="bullet"/>
      <w:lvlText w:val=""/>
      <w:lvlJc w:val="left"/>
      <w:pPr>
        <w:ind w:left="1985" w:hanging="284"/>
      </w:pPr>
      <w:rPr>
        <w:rFonts w:ascii="Symbol" w:hAnsi="Symbol" w:hint="default"/>
        <w:color w:val="ED7D31"/>
      </w:rPr>
    </w:lvl>
    <w:lvl w:ilvl="7">
      <w:start w:val="1"/>
      <w:numFmt w:val="bullet"/>
      <w:lvlText w:val="o"/>
      <w:lvlJc w:val="left"/>
      <w:pPr>
        <w:ind w:left="2634" w:hanging="362"/>
      </w:pPr>
      <w:rPr>
        <w:rFonts w:ascii="Courier New" w:hAnsi="Courier New" w:hint="default"/>
        <w:color w:val="ED7D31"/>
      </w:rPr>
    </w:lvl>
    <w:lvl w:ilvl="8">
      <w:start w:val="1"/>
      <w:numFmt w:val="bullet"/>
      <w:lvlText w:val=""/>
      <w:lvlJc w:val="left"/>
      <w:pPr>
        <w:ind w:left="2918" w:hanging="362"/>
      </w:pPr>
      <w:rPr>
        <w:rFonts w:ascii="Wingdings" w:hAnsi="Wingdings" w:hint="default"/>
        <w:color w:val="ED7D31"/>
      </w:rPr>
    </w:lvl>
  </w:abstractNum>
  <w:abstractNum w:abstractNumId="30">
    <w:nsid w:val="73652774"/>
    <w:multiLevelType w:val="hybridMultilevel"/>
    <w:tmpl w:val="ED8A49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5603936"/>
    <w:multiLevelType w:val="hybridMultilevel"/>
    <w:tmpl w:val="38BCF4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79946426"/>
    <w:multiLevelType w:val="hybridMultilevel"/>
    <w:tmpl w:val="7E82A1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28"/>
  </w:num>
  <w:num w:numId="3">
    <w:abstractNumId w:val="13"/>
  </w:num>
  <w:num w:numId="4">
    <w:abstractNumId w:val="1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num>
  <w:num w:numId="7">
    <w:abstractNumId w:val="26"/>
  </w:num>
  <w:num w:numId="8">
    <w:abstractNumId w:val="15"/>
  </w:num>
  <w:num w:numId="9">
    <w:abstractNumId w:val="22"/>
  </w:num>
  <w:num w:numId="10">
    <w:abstractNumId w:val="7"/>
  </w:num>
  <w:num w:numId="11">
    <w:abstractNumId w:val="31"/>
  </w:num>
  <w:num w:numId="12">
    <w:abstractNumId w:val="1"/>
  </w:num>
  <w:num w:numId="13">
    <w:abstractNumId w:val="19"/>
  </w:num>
  <w:num w:numId="14">
    <w:abstractNumId w:val="13"/>
    <w:lvlOverride w:ilvl="0">
      <w:startOverride w:val="1"/>
    </w:lvlOverride>
  </w:num>
  <w:num w:numId="15">
    <w:abstractNumId w:val="2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30"/>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6"/>
  </w:num>
  <w:num w:numId="23">
    <w:abstractNumId w:val="27"/>
  </w:num>
  <w:num w:numId="24">
    <w:abstractNumId w:val="17"/>
  </w:num>
  <w:num w:numId="25">
    <w:abstractNumId w:val="24"/>
  </w:num>
  <w:num w:numId="26">
    <w:abstractNumId w:val="13"/>
  </w:num>
  <w:num w:numId="27">
    <w:abstractNumId w:val="13"/>
  </w:num>
  <w:num w:numId="28">
    <w:abstractNumId w:val="13"/>
  </w:num>
  <w:num w:numId="29">
    <w:abstractNumId w:val="20"/>
  </w:num>
  <w:num w:numId="30">
    <w:abstractNumId w:val="0"/>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 w:numId="33">
    <w:abstractNumId w:val="23"/>
  </w:num>
  <w:num w:numId="34">
    <w:abstractNumId w:val="21"/>
  </w:num>
  <w:num w:numId="35">
    <w:abstractNumId w:val="18"/>
  </w:num>
  <w:num w:numId="36">
    <w:abstractNumId w:val="5"/>
  </w:num>
  <w:num w:numId="37">
    <w:abstractNumId w:val="4"/>
  </w:num>
  <w:num w:numId="38">
    <w:abstractNumId w:val="11"/>
  </w:num>
  <w:num w:numId="39">
    <w:abstractNumId w:val="3"/>
  </w:num>
  <w:num w:numId="40">
    <w:abstractNumId w:val="32"/>
  </w:num>
  <w:num w:numId="41">
    <w:abstractNumId w:val="9"/>
  </w:num>
  <w:num w:numId="4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onn O'Sullivan">
    <w15:presenceInfo w15:providerId="AD" w15:userId="S-1-5-21-1440998506-3432950280-1416995440-315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1266"/>
  </w:hdrShapeDefaults>
  <w:footnotePr>
    <w:footnote w:id="-1"/>
    <w:footnote w:id="0"/>
    <w:footnote w:id="1"/>
  </w:footnotePr>
  <w:endnotePr>
    <w:endnote w:id="-1"/>
    <w:endnote w:id="0"/>
    <w:endnote w:id="1"/>
  </w:endnotePr>
  <w:compat/>
  <w:rsids>
    <w:rsidRoot w:val="00074D5A"/>
    <w:rsid w:val="000022F4"/>
    <w:rsid w:val="000177A9"/>
    <w:rsid w:val="0002049C"/>
    <w:rsid w:val="00023633"/>
    <w:rsid w:val="000254A5"/>
    <w:rsid w:val="00025EF7"/>
    <w:rsid w:val="00034F81"/>
    <w:rsid w:val="000446A9"/>
    <w:rsid w:val="000660BF"/>
    <w:rsid w:val="00067A8B"/>
    <w:rsid w:val="000704A5"/>
    <w:rsid w:val="000714D9"/>
    <w:rsid w:val="00074D5A"/>
    <w:rsid w:val="00083F9B"/>
    <w:rsid w:val="0009443C"/>
    <w:rsid w:val="000953B5"/>
    <w:rsid w:val="000A19CE"/>
    <w:rsid w:val="000A6620"/>
    <w:rsid w:val="000B0949"/>
    <w:rsid w:val="000B30F9"/>
    <w:rsid w:val="000C222A"/>
    <w:rsid w:val="000E1D1B"/>
    <w:rsid w:val="000E5498"/>
    <w:rsid w:val="000E5687"/>
    <w:rsid w:val="001014FF"/>
    <w:rsid w:val="001016E5"/>
    <w:rsid w:val="001135A4"/>
    <w:rsid w:val="0012236C"/>
    <w:rsid w:val="00127950"/>
    <w:rsid w:val="001354E6"/>
    <w:rsid w:val="001605D3"/>
    <w:rsid w:val="00161817"/>
    <w:rsid w:val="0017372E"/>
    <w:rsid w:val="00175B66"/>
    <w:rsid w:val="00175E8B"/>
    <w:rsid w:val="001965DE"/>
    <w:rsid w:val="001A0B3F"/>
    <w:rsid w:val="001A2D63"/>
    <w:rsid w:val="001A4824"/>
    <w:rsid w:val="001B009D"/>
    <w:rsid w:val="001B23D5"/>
    <w:rsid w:val="001B6192"/>
    <w:rsid w:val="001C0504"/>
    <w:rsid w:val="001C5741"/>
    <w:rsid w:val="001D0BB7"/>
    <w:rsid w:val="001D0F2A"/>
    <w:rsid w:val="001D47F9"/>
    <w:rsid w:val="001D6AC3"/>
    <w:rsid w:val="001E413B"/>
    <w:rsid w:val="001F05B3"/>
    <w:rsid w:val="001F3C87"/>
    <w:rsid w:val="001F55F9"/>
    <w:rsid w:val="00203848"/>
    <w:rsid w:val="00205705"/>
    <w:rsid w:val="002202BE"/>
    <w:rsid w:val="00224606"/>
    <w:rsid w:val="00231298"/>
    <w:rsid w:val="00250605"/>
    <w:rsid w:val="00254725"/>
    <w:rsid w:val="0025534A"/>
    <w:rsid w:val="0026056B"/>
    <w:rsid w:val="00263703"/>
    <w:rsid w:val="00264D9E"/>
    <w:rsid w:val="00265604"/>
    <w:rsid w:val="002658BD"/>
    <w:rsid w:val="00272398"/>
    <w:rsid w:val="00273C50"/>
    <w:rsid w:val="00287BBE"/>
    <w:rsid w:val="002B11DB"/>
    <w:rsid w:val="002C4061"/>
    <w:rsid w:val="002D05B1"/>
    <w:rsid w:val="002D2D7F"/>
    <w:rsid w:val="002E0A3A"/>
    <w:rsid w:val="002E2E79"/>
    <w:rsid w:val="002E421C"/>
    <w:rsid w:val="002E7368"/>
    <w:rsid w:val="002F7AE3"/>
    <w:rsid w:val="00310A83"/>
    <w:rsid w:val="00310C8E"/>
    <w:rsid w:val="003349F4"/>
    <w:rsid w:val="00337534"/>
    <w:rsid w:val="00345CE6"/>
    <w:rsid w:val="003478B2"/>
    <w:rsid w:val="003610F0"/>
    <w:rsid w:val="00361483"/>
    <w:rsid w:val="00361AC7"/>
    <w:rsid w:val="00362647"/>
    <w:rsid w:val="0037089A"/>
    <w:rsid w:val="00375468"/>
    <w:rsid w:val="00382902"/>
    <w:rsid w:val="003872F7"/>
    <w:rsid w:val="003A0856"/>
    <w:rsid w:val="003A0D16"/>
    <w:rsid w:val="003A4126"/>
    <w:rsid w:val="003A4726"/>
    <w:rsid w:val="003C520B"/>
    <w:rsid w:val="003C7F94"/>
    <w:rsid w:val="003D26E3"/>
    <w:rsid w:val="003D3CC3"/>
    <w:rsid w:val="003D59FF"/>
    <w:rsid w:val="003D76F8"/>
    <w:rsid w:val="003E3049"/>
    <w:rsid w:val="003E31A8"/>
    <w:rsid w:val="003E3DAA"/>
    <w:rsid w:val="003F292A"/>
    <w:rsid w:val="003F5A81"/>
    <w:rsid w:val="004067CB"/>
    <w:rsid w:val="00406A81"/>
    <w:rsid w:val="00427BA4"/>
    <w:rsid w:val="00444268"/>
    <w:rsid w:val="00451628"/>
    <w:rsid w:val="00460E4E"/>
    <w:rsid w:val="0046174A"/>
    <w:rsid w:val="00463970"/>
    <w:rsid w:val="0047508E"/>
    <w:rsid w:val="004807DD"/>
    <w:rsid w:val="00480B9C"/>
    <w:rsid w:val="00485B5D"/>
    <w:rsid w:val="00486C2D"/>
    <w:rsid w:val="004A4AC9"/>
    <w:rsid w:val="004A4B81"/>
    <w:rsid w:val="004A5EC9"/>
    <w:rsid w:val="004C79F5"/>
    <w:rsid w:val="004E5517"/>
    <w:rsid w:val="004E69A3"/>
    <w:rsid w:val="0050443F"/>
    <w:rsid w:val="0050544B"/>
    <w:rsid w:val="00505875"/>
    <w:rsid w:val="00507CA9"/>
    <w:rsid w:val="005114FE"/>
    <w:rsid w:val="00515E4D"/>
    <w:rsid w:val="0052199D"/>
    <w:rsid w:val="005230CE"/>
    <w:rsid w:val="00526C6A"/>
    <w:rsid w:val="005336F1"/>
    <w:rsid w:val="00541169"/>
    <w:rsid w:val="005751C7"/>
    <w:rsid w:val="00586AED"/>
    <w:rsid w:val="005909B1"/>
    <w:rsid w:val="005B13B8"/>
    <w:rsid w:val="005B4699"/>
    <w:rsid w:val="005D28F8"/>
    <w:rsid w:val="005D4241"/>
    <w:rsid w:val="005D74AD"/>
    <w:rsid w:val="005E1303"/>
    <w:rsid w:val="00603A74"/>
    <w:rsid w:val="00611525"/>
    <w:rsid w:val="00625B10"/>
    <w:rsid w:val="00634850"/>
    <w:rsid w:val="00636906"/>
    <w:rsid w:val="006509C9"/>
    <w:rsid w:val="00651E60"/>
    <w:rsid w:val="00654C1D"/>
    <w:rsid w:val="006574D2"/>
    <w:rsid w:val="0066284A"/>
    <w:rsid w:val="00665AFC"/>
    <w:rsid w:val="00666228"/>
    <w:rsid w:val="00673741"/>
    <w:rsid w:val="00682092"/>
    <w:rsid w:val="00683B52"/>
    <w:rsid w:val="006845C9"/>
    <w:rsid w:val="00692047"/>
    <w:rsid w:val="00694FF3"/>
    <w:rsid w:val="0069621D"/>
    <w:rsid w:val="006968A8"/>
    <w:rsid w:val="006C0DED"/>
    <w:rsid w:val="006C40BF"/>
    <w:rsid w:val="006C6203"/>
    <w:rsid w:val="006D59B4"/>
    <w:rsid w:val="006D7D5E"/>
    <w:rsid w:val="006F076A"/>
    <w:rsid w:val="00701DCE"/>
    <w:rsid w:val="0071238D"/>
    <w:rsid w:val="007224A8"/>
    <w:rsid w:val="00726879"/>
    <w:rsid w:val="0072756A"/>
    <w:rsid w:val="00731500"/>
    <w:rsid w:val="007330EC"/>
    <w:rsid w:val="00736142"/>
    <w:rsid w:val="007376F3"/>
    <w:rsid w:val="00743A60"/>
    <w:rsid w:val="00744425"/>
    <w:rsid w:val="00744CFD"/>
    <w:rsid w:val="00751813"/>
    <w:rsid w:val="007631CC"/>
    <w:rsid w:val="00767867"/>
    <w:rsid w:val="00770311"/>
    <w:rsid w:val="007851CD"/>
    <w:rsid w:val="007910EA"/>
    <w:rsid w:val="00794E67"/>
    <w:rsid w:val="00795118"/>
    <w:rsid w:val="0079793E"/>
    <w:rsid w:val="007B3BA3"/>
    <w:rsid w:val="007B50A9"/>
    <w:rsid w:val="007D5CA2"/>
    <w:rsid w:val="00807AC0"/>
    <w:rsid w:val="00822071"/>
    <w:rsid w:val="0082487E"/>
    <w:rsid w:val="008249D5"/>
    <w:rsid w:val="00825AFB"/>
    <w:rsid w:val="008422FB"/>
    <w:rsid w:val="00850848"/>
    <w:rsid w:val="008678BF"/>
    <w:rsid w:val="00875E78"/>
    <w:rsid w:val="00881F83"/>
    <w:rsid w:val="008911B2"/>
    <w:rsid w:val="008A47CA"/>
    <w:rsid w:val="008B3C97"/>
    <w:rsid w:val="008B6047"/>
    <w:rsid w:val="008C0568"/>
    <w:rsid w:val="008D4F1D"/>
    <w:rsid w:val="008D5042"/>
    <w:rsid w:val="008D6EAF"/>
    <w:rsid w:val="008F3698"/>
    <w:rsid w:val="008F5B87"/>
    <w:rsid w:val="009309EF"/>
    <w:rsid w:val="0094425A"/>
    <w:rsid w:val="00944F19"/>
    <w:rsid w:val="009545FC"/>
    <w:rsid w:val="00956A41"/>
    <w:rsid w:val="0096432F"/>
    <w:rsid w:val="00970254"/>
    <w:rsid w:val="00972517"/>
    <w:rsid w:val="00985DF1"/>
    <w:rsid w:val="00985F58"/>
    <w:rsid w:val="00991A71"/>
    <w:rsid w:val="009952B1"/>
    <w:rsid w:val="009A00A3"/>
    <w:rsid w:val="009B2427"/>
    <w:rsid w:val="009B61F7"/>
    <w:rsid w:val="009D1020"/>
    <w:rsid w:val="009D3AD0"/>
    <w:rsid w:val="009E0920"/>
    <w:rsid w:val="009E3AAF"/>
    <w:rsid w:val="009E46AA"/>
    <w:rsid w:val="009F0B88"/>
    <w:rsid w:val="00A12826"/>
    <w:rsid w:val="00A32E8C"/>
    <w:rsid w:val="00A33B4F"/>
    <w:rsid w:val="00A4003B"/>
    <w:rsid w:val="00A41BA9"/>
    <w:rsid w:val="00A43C90"/>
    <w:rsid w:val="00A70144"/>
    <w:rsid w:val="00A75E07"/>
    <w:rsid w:val="00A8775D"/>
    <w:rsid w:val="00A96A97"/>
    <w:rsid w:val="00AB3EFC"/>
    <w:rsid w:val="00AB5904"/>
    <w:rsid w:val="00AC0491"/>
    <w:rsid w:val="00AD0821"/>
    <w:rsid w:val="00AD54E7"/>
    <w:rsid w:val="00AE0E40"/>
    <w:rsid w:val="00AE0F12"/>
    <w:rsid w:val="00AE5CF4"/>
    <w:rsid w:val="00AF14CD"/>
    <w:rsid w:val="00AF7384"/>
    <w:rsid w:val="00AF7BD1"/>
    <w:rsid w:val="00B053E8"/>
    <w:rsid w:val="00B06CB2"/>
    <w:rsid w:val="00B15E22"/>
    <w:rsid w:val="00B25D84"/>
    <w:rsid w:val="00B36A43"/>
    <w:rsid w:val="00B47083"/>
    <w:rsid w:val="00B502F2"/>
    <w:rsid w:val="00B618E2"/>
    <w:rsid w:val="00B624C7"/>
    <w:rsid w:val="00B64EFC"/>
    <w:rsid w:val="00B77494"/>
    <w:rsid w:val="00B86087"/>
    <w:rsid w:val="00BA452F"/>
    <w:rsid w:val="00BB0A1E"/>
    <w:rsid w:val="00BD4784"/>
    <w:rsid w:val="00BD5726"/>
    <w:rsid w:val="00BE1D51"/>
    <w:rsid w:val="00BF2120"/>
    <w:rsid w:val="00C0007B"/>
    <w:rsid w:val="00C04E64"/>
    <w:rsid w:val="00C10CCB"/>
    <w:rsid w:val="00C143C9"/>
    <w:rsid w:val="00C2479A"/>
    <w:rsid w:val="00C30524"/>
    <w:rsid w:val="00C425A4"/>
    <w:rsid w:val="00C551FB"/>
    <w:rsid w:val="00C56B1D"/>
    <w:rsid w:val="00C61F47"/>
    <w:rsid w:val="00C64FA8"/>
    <w:rsid w:val="00C667A0"/>
    <w:rsid w:val="00C718E4"/>
    <w:rsid w:val="00C71C95"/>
    <w:rsid w:val="00C92321"/>
    <w:rsid w:val="00C95571"/>
    <w:rsid w:val="00CA78D8"/>
    <w:rsid w:val="00CC2101"/>
    <w:rsid w:val="00CC5761"/>
    <w:rsid w:val="00CD6757"/>
    <w:rsid w:val="00CE77DE"/>
    <w:rsid w:val="00CF23F0"/>
    <w:rsid w:val="00D01076"/>
    <w:rsid w:val="00D15B17"/>
    <w:rsid w:val="00D20C9D"/>
    <w:rsid w:val="00D2261A"/>
    <w:rsid w:val="00D3094D"/>
    <w:rsid w:val="00D31F3C"/>
    <w:rsid w:val="00D51A09"/>
    <w:rsid w:val="00D56F7C"/>
    <w:rsid w:val="00D612F6"/>
    <w:rsid w:val="00D660CA"/>
    <w:rsid w:val="00D71264"/>
    <w:rsid w:val="00D85016"/>
    <w:rsid w:val="00D9042E"/>
    <w:rsid w:val="00D914CF"/>
    <w:rsid w:val="00DA3574"/>
    <w:rsid w:val="00DA46C7"/>
    <w:rsid w:val="00DA6328"/>
    <w:rsid w:val="00DB0527"/>
    <w:rsid w:val="00DB2250"/>
    <w:rsid w:val="00DB2C5A"/>
    <w:rsid w:val="00DC04D4"/>
    <w:rsid w:val="00DC27B8"/>
    <w:rsid w:val="00DC5BB0"/>
    <w:rsid w:val="00DD5B67"/>
    <w:rsid w:val="00DE596F"/>
    <w:rsid w:val="00DF5800"/>
    <w:rsid w:val="00E07654"/>
    <w:rsid w:val="00E22F6F"/>
    <w:rsid w:val="00E24FA5"/>
    <w:rsid w:val="00E2746E"/>
    <w:rsid w:val="00E34025"/>
    <w:rsid w:val="00E36182"/>
    <w:rsid w:val="00E61B98"/>
    <w:rsid w:val="00E66CAF"/>
    <w:rsid w:val="00E80316"/>
    <w:rsid w:val="00E84799"/>
    <w:rsid w:val="00EA60FD"/>
    <w:rsid w:val="00EA63B1"/>
    <w:rsid w:val="00EA7F1D"/>
    <w:rsid w:val="00EB3BDF"/>
    <w:rsid w:val="00EB7EF4"/>
    <w:rsid w:val="00EC1EDE"/>
    <w:rsid w:val="00EC6191"/>
    <w:rsid w:val="00F11EBB"/>
    <w:rsid w:val="00F128DF"/>
    <w:rsid w:val="00F23D72"/>
    <w:rsid w:val="00F50FFC"/>
    <w:rsid w:val="00F544FF"/>
    <w:rsid w:val="00F57650"/>
    <w:rsid w:val="00F60601"/>
    <w:rsid w:val="00F6477B"/>
    <w:rsid w:val="00F64FA9"/>
    <w:rsid w:val="00F83D3B"/>
    <w:rsid w:val="00F862EF"/>
    <w:rsid w:val="00F87AA6"/>
    <w:rsid w:val="00F95248"/>
    <w:rsid w:val="00FA2458"/>
    <w:rsid w:val="00FA74C2"/>
    <w:rsid w:val="00FB671D"/>
    <w:rsid w:val="00FC3008"/>
    <w:rsid w:val="00FC3423"/>
    <w:rsid w:val="00FC7C45"/>
    <w:rsid w:val="00FD0DA2"/>
    <w:rsid w:val="00FD4AC7"/>
    <w:rsid w:val="00FE166A"/>
    <w:rsid w:val="00FE4533"/>
    <w:rsid w:val="00FF2EF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120" w:after="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93E"/>
    <w:rPr>
      <w:rFonts w:ascii="Arial" w:hAnsi="Arial"/>
      <w:sz w:val="20"/>
    </w:rPr>
  </w:style>
  <w:style w:type="paragraph" w:styleId="Heading1">
    <w:name w:val="heading 1"/>
    <w:basedOn w:val="Normal"/>
    <w:next w:val="Normal"/>
    <w:link w:val="Heading1Char"/>
    <w:uiPriority w:val="9"/>
    <w:qFormat/>
    <w:rsid w:val="009952B1"/>
    <w:pPr>
      <w:keepNext/>
      <w:keepLines/>
      <w:numPr>
        <w:numId w:val="8"/>
      </w:numPr>
      <w:spacing w:before="240"/>
      <w:ind w:left="357" w:hanging="357"/>
      <w:outlineLvl w:val="0"/>
    </w:pPr>
    <w:rPr>
      <w:rFonts w:eastAsiaTheme="majorEastAsia" w:cstheme="majorBidi"/>
      <w:b/>
      <w:color w:val="2E74B5" w:themeColor="accent1" w:themeShade="BF"/>
      <w:sz w:val="22"/>
      <w:szCs w:val="32"/>
    </w:rPr>
  </w:style>
  <w:style w:type="paragraph" w:styleId="Heading2">
    <w:name w:val="heading 2"/>
    <w:basedOn w:val="Normal"/>
    <w:next w:val="Normal"/>
    <w:link w:val="Heading2Char"/>
    <w:uiPriority w:val="9"/>
    <w:unhideWhenUsed/>
    <w:qFormat/>
    <w:rsid w:val="0079793E"/>
    <w:pPr>
      <w:keepNext/>
      <w:keepLines/>
      <w:numPr>
        <w:ilvl w:val="1"/>
        <w:numId w:val="8"/>
      </w:numPr>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02049C"/>
    <w:pPr>
      <w:keepNext/>
      <w:keepLines/>
      <w:numPr>
        <w:ilvl w:val="2"/>
        <w:numId w:val="8"/>
      </w:numP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3A4726"/>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4726"/>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4726"/>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4726"/>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472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472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2B1"/>
    <w:rPr>
      <w:rFonts w:ascii="Arial" w:eastAsiaTheme="majorEastAsia" w:hAnsi="Arial" w:cstheme="majorBidi"/>
      <w:b/>
      <w:color w:val="2E74B5" w:themeColor="accent1" w:themeShade="BF"/>
      <w:szCs w:val="32"/>
    </w:rPr>
  </w:style>
  <w:style w:type="paragraph" w:styleId="ListParagraph">
    <w:name w:val="List Paragraph"/>
    <w:basedOn w:val="Normal"/>
    <w:link w:val="ListParagraphChar"/>
    <w:uiPriority w:val="34"/>
    <w:qFormat/>
    <w:rsid w:val="00C10CCB"/>
    <w:pPr>
      <w:ind w:left="720"/>
      <w:contextualSpacing/>
    </w:pPr>
  </w:style>
  <w:style w:type="paragraph" w:customStyle="1" w:styleId="Bullets">
    <w:name w:val="Bullets"/>
    <w:basedOn w:val="ListParagraph"/>
    <w:link w:val="BulletsChar"/>
    <w:qFormat/>
    <w:rsid w:val="009545FC"/>
    <w:pPr>
      <w:numPr>
        <w:numId w:val="2"/>
      </w:numPr>
      <w:ind w:left="924" w:hanging="357"/>
    </w:pPr>
  </w:style>
  <w:style w:type="paragraph" w:customStyle="1" w:styleId="Numbering">
    <w:name w:val="Numbering"/>
    <w:basedOn w:val="ListParagraph"/>
    <w:link w:val="NumberingChar"/>
    <w:qFormat/>
    <w:rsid w:val="00C10CCB"/>
    <w:pPr>
      <w:numPr>
        <w:numId w:val="3"/>
      </w:numPr>
    </w:pPr>
  </w:style>
  <w:style w:type="character" w:customStyle="1" w:styleId="ListParagraphChar">
    <w:name w:val="List Paragraph Char"/>
    <w:basedOn w:val="DefaultParagraphFont"/>
    <w:link w:val="ListParagraph"/>
    <w:uiPriority w:val="34"/>
    <w:rsid w:val="00C10CCB"/>
  </w:style>
  <w:style w:type="character" w:customStyle="1" w:styleId="BulletsChar">
    <w:name w:val="Bullets Char"/>
    <w:basedOn w:val="ListParagraphChar"/>
    <w:link w:val="Bullets"/>
    <w:rsid w:val="009545FC"/>
    <w:rPr>
      <w:rFonts w:ascii="Arial" w:hAnsi="Arial"/>
      <w:sz w:val="20"/>
    </w:rPr>
  </w:style>
  <w:style w:type="character" w:customStyle="1" w:styleId="NumberingChar">
    <w:name w:val="Numbering Char"/>
    <w:basedOn w:val="ListParagraphChar"/>
    <w:link w:val="Numbering"/>
    <w:rsid w:val="00C10CCB"/>
  </w:style>
  <w:style w:type="paragraph" w:styleId="Header">
    <w:name w:val="header"/>
    <w:basedOn w:val="Normal"/>
    <w:link w:val="HeaderChar"/>
    <w:uiPriority w:val="99"/>
    <w:unhideWhenUsed/>
    <w:rsid w:val="00E22F6F"/>
    <w:pPr>
      <w:tabs>
        <w:tab w:val="center" w:pos="4513"/>
        <w:tab w:val="right" w:pos="9026"/>
      </w:tabs>
      <w:spacing w:after="0"/>
    </w:pPr>
  </w:style>
  <w:style w:type="character" w:customStyle="1" w:styleId="HeaderChar">
    <w:name w:val="Header Char"/>
    <w:basedOn w:val="DefaultParagraphFont"/>
    <w:link w:val="Header"/>
    <w:uiPriority w:val="99"/>
    <w:rsid w:val="00E22F6F"/>
  </w:style>
  <w:style w:type="paragraph" w:styleId="Footer">
    <w:name w:val="footer"/>
    <w:basedOn w:val="Normal"/>
    <w:link w:val="FooterChar"/>
    <w:uiPriority w:val="99"/>
    <w:unhideWhenUsed/>
    <w:rsid w:val="00E22F6F"/>
    <w:pPr>
      <w:tabs>
        <w:tab w:val="center" w:pos="4513"/>
        <w:tab w:val="right" w:pos="9026"/>
      </w:tabs>
      <w:spacing w:after="0"/>
    </w:pPr>
  </w:style>
  <w:style w:type="character" w:customStyle="1" w:styleId="FooterChar">
    <w:name w:val="Footer Char"/>
    <w:basedOn w:val="DefaultParagraphFont"/>
    <w:link w:val="Footer"/>
    <w:uiPriority w:val="99"/>
    <w:rsid w:val="00E22F6F"/>
  </w:style>
  <w:style w:type="paragraph" w:customStyle="1" w:styleId="Bulletnumbering">
    <w:name w:val="Bullet numbering"/>
    <w:basedOn w:val="ListParagraph"/>
    <w:link w:val="BulletnumberingChar"/>
    <w:qFormat/>
    <w:rsid w:val="0002049C"/>
    <w:pPr>
      <w:numPr>
        <w:numId w:val="4"/>
      </w:numPr>
      <w:contextualSpacing w:val="0"/>
    </w:pPr>
    <w:rPr>
      <w:rFonts w:cs="Arial"/>
    </w:rPr>
  </w:style>
  <w:style w:type="character" w:styleId="Hyperlink">
    <w:name w:val="Hyperlink"/>
    <w:basedOn w:val="DefaultParagraphFont"/>
    <w:uiPriority w:val="99"/>
    <w:unhideWhenUsed/>
    <w:rsid w:val="00406A81"/>
    <w:rPr>
      <w:color w:val="auto"/>
      <w:u w:val="none"/>
    </w:rPr>
  </w:style>
  <w:style w:type="character" w:customStyle="1" w:styleId="BulletnumberingChar">
    <w:name w:val="Bullet numbering Char"/>
    <w:basedOn w:val="ListParagraphChar"/>
    <w:link w:val="Bulletnumbering"/>
    <w:rsid w:val="0002049C"/>
    <w:rPr>
      <w:rFonts w:ascii="Arial" w:hAnsi="Arial" w:cs="Arial"/>
    </w:rPr>
  </w:style>
  <w:style w:type="character" w:styleId="FollowedHyperlink">
    <w:name w:val="FollowedHyperlink"/>
    <w:basedOn w:val="DefaultParagraphFont"/>
    <w:uiPriority w:val="99"/>
    <w:semiHidden/>
    <w:unhideWhenUsed/>
    <w:rsid w:val="00985F58"/>
    <w:rPr>
      <w:color w:val="954F72" w:themeColor="followedHyperlink"/>
      <w:u w:val="single"/>
    </w:rPr>
  </w:style>
  <w:style w:type="character" w:styleId="CommentReference">
    <w:name w:val="annotation reference"/>
    <w:basedOn w:val="DefaultParagraphFont"/>
    <w:uiPriority w:val="99"/>
    <w:semiHidden/>
    <w:unhideWhenUsed/>
    <w:rsid w:val="00DE596F"/>
    <w:rPr>
      <w:sz w:val="16"/>
      <w:szCs w:val="16"/>
    </w:rPr>
  </w:style>
  <w:style w:type="paragraph" w:styleId="CommentText">
    <w:name w:val="annotation text"/>
    <w:basedOn w:val="Normal"/>
    <w:link w:val="CommentTextChar"/>
    <w:uiPriority w:val="99"/>
    <w:semiHidden/>
    <w:unhideWhenUsed/>
    <w:rsid w:val="00DE596F"/>
    <w:rPr>
      <w:szCs w:val="20"/>
    </w:rPr>
  </w:style>
  <w:style w:type="character" w:customStyle="1" w:styleId="CommentTextChar">
    <w:name w:val="Comment Text Char"/>
    <w:basedOn w:val="DefaultParagraphFont"/>
    <w:link w:val="CommentText"/>
    <w:uiPriority w:val="99"/>
    <w:semiHidden/>
    <w:rsid w:val="00DE596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E596F"/>
    <w:rPr>
      <w:b/>
      <w:bCs/>
    </w:rPr>
  </w:style>
  <w:style w:type="character" w:customStyle="1" w:styleId="CommentSubjectChar">
    <w:name w:val="Comment Subject Char"/>
    <w:basedOn w:val="CommentTextChar"/>
    <w:link w:val="CommentSubject"/>
    <w:uiPriority w:val="99"/>
    <w:semiHidden/>
    <w:rsid w:val="00DE596F"/>
    <w:rPr>
      <w:rFonts w:ascii="Arial" w:hAnsi="Arial"/>
      <w:b/>
      <w:bCs/>
      <w:sz w:val="20"/>
      <w:szCs w:val="20"/>
    </w:rPr>
  </w:style>
  <w:style w:type="paragraph" w:styleId="BalloonText">
    <w:name w:val="Balloon Text"/>
    <w:basedOn w:val="Normal"/>
    <w:link w:val="BalloonTextChar"/>
    <w:uiPriority w:val="99"/>
    <w:semiHidden/>
    <w:unhideWhenUsed/>
    <w:rsid w:val="00DE596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96F"/>
    <w:rPr>
      <w:rFonts w:ascii="Segoe UI" w:hAnsi="Segoe UI" w:cs="Segoe UI"/>
      <w:sz w:val="18"/>
      <w:szCs w:val="18"/>
    </w:rPr>
  </w:style>
  <w:style w:type="paragraph" w:styleId="TOC1">
    <w:name w:val="toc 1"/>
    <w:basedOn w:val="Normal"/>
    <w:next w:val="Normal"/>
    <w:autoRedefine/>
    <w:uiPriority w:val="39"/>
    <w:unhideWhenUsed/>
    <w:rsid w:val="002D2D7F"/>
    <w:pPr>
      <w:spacing w:after="100"/>
    </w:pPr>
  </w:style>
  <w:style w:type="character" w:customStyle="1" w:styleId="Heading2Char">
    <w:name w:val="Heading 2 Char"/>
    <w:basedOn w:val="DefaultParagraphFont"/>
    <w:link w:val="Heading2"/>
    <w:uiPriority w:val="9"/>
    <w:rsid w:val="0079793E"/>
    <w:rPr>
      <w:rFonts w:ascii="Arial" w:eastAsiaTheme="majorEastAsia" w:hAnsi="Arial" w:cstheme="majorBidi"/>
      <w:color w:val="2E74B5" w:themeColor="accent1" w:themeShade="BF"/>
      <w:szCs w:val="26"/>
    </w:rPr>
  </w:style>
  <w:style w:type="character" w:customStyle="1" w:styleId="Heading3Char">
    <w:name w:val="Heading 3 Char"/>
    <w:basedOn w:val="DefaultParagraphFont"/>
    <w:link w:val="Heading3"/>
    <w:uiPriority w:val="9"/>
    <w:rsid w:val="0002049C"/>
    <w:rPr>
      <w:rFonts w:ascii="Arial" w:eastAsiaTheme="majorEastAsia" w:hAnsi="Arial" w:cstheme="majorBidi"/>
      <w:szCs w:val="24"/>
    </w:rPr>
  </w:style>
  <w:style w:type="character" w:customStyle="1" w:styleId="Heading4Char">
    <w:name w:val="Heading 4 Char"/>
    <w:basedOn w:val="DefaultParagraphFont"/>
    <w:link w:val="Heading4"/>
    <w:uiPriority w:val="9"/>
    <w:semiHidden/>
    <w:rsid w:val="003A4726"/>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3A4726"/>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3A4726"/>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3A4726"/>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3A47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472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6C6203"/>
    <w:pPr>
      <w:spacing w:before="360" w:after="240" w:line="240" w:lineRule="auto"/>
    </w:pPr>
    <w:rPr>
      <w:rFonts w:eastAsiaTheme="majorEastAsia" w:cstheme="majorBidi"/>
      <w:b/>
      <w:color w:val="2E74B5" w:themeColor="accent1" w:themeShade="BF"/>
      <w:spacing w:val="-10"/>
      <w:kern w:val="28"/>
      <w:sz w:val="24"/>
      <w:szCs w:val="56"/>
    </w:rPr>
  </w:style>
  <w:style w:type="character" w:customStyle="1" w:styleId="TitleChar">
    <w:name w:val="Title Char"/>
    <w:basedOn w:val="DefaultParagraphFont"/>
    <w:link w:val="Title"/>
    <w:uiPriority w:val="10"/>
    <w:rsid w:val="006C6203"/>
    <w:rPr>
      <w:rFonts w:ascii="Arial" w:eastAsiaTheme="majorEastAsia" w:hAnsi="Arial" w:cstheme="majorBidi"/>
      <w:b/>
      <w:color w:val="2E74B5" w:themeColor="accent1" w:themeShade="BF"/>
      <w:spacing w:val="-10"/>
      <w:kern w:val="28"/>
      <w:sz w:val="24"/>
      <w:szCs w:val="56"/>
    </w:rPr>
  </w:style>
  <w:style w:type="table" w:styleId="TableGrid">
    <w:name w:val="Table Grid"/>
    <w:basedOn w:val="TableNormal"/>
    <w:uiPriority w:val="39"/>
    <w:rsid w:val="00101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link w:val="TabletextChar"/>
    <w:qFormat/>
    <w:rsid w:val="001016E5"/>
    <w:pPr>
      <w:spacing w:before="40" w:after="40" w:line="240" w:lineRule="auto"/>
    </w:pPr>
  </w:style>
  <w:style w:type="character" w:customStyle="1" w:styleId="TabletextChar">
    <w:name w:val="Table text Char"/>
    <w:basedOn w:val="DefaultParagraphFont"/>
    <w:link w:val="Tabletext"/>
    <w:rsid w:val="001016E5"/>
    <w:rPr>
      <w:rFonts w:ascii="Arial" w:hAnsi="Arial"/>
      <w:sz w:val="20"/>
    </w:rPr>
  </w:style>
  <w:style w:type="paragraph" w:styleId="FootnoteText">
    <w:name w:val="footnote text"/>
    <w:aliases w:val="single space,ft,ft Char,FOOTNOTES,fn,Footnote Text Char2,Footnote Text Char1 Char,Footnote Text Char Char Char1,Footnote Text Char1 Char Char Char1,Footnote Text Char1 Char1 Char,Footnote Text Char Char Char Char,Footnote Text Char Cha"/>
    <w:basedOn w:val="Normal"/>
    <w:link w:val="FootnoteTextChar"/>
    <w:unhideWhenUsed/>
    <w:rsid w:val="00C425A4"/>
    <w:pPr>
      <w:spacing w:before="0" w:after="0" w:line="240" w:lineRule="auto"/>
    </w:pPr>
    <w:rPr>
      <w:rFonts w:asciiTheme="minorHAnsi" w:hAnsiTheme="minorHAnsi"/>
      <w:szCs w:val="20"/>
    </w:rPr>
  </w:style>
  <w:style w:type="character" w:customStyle="1" w:styleId="FootnoteTextChar">
    <w:name w:val="Footnote Text Char"/>
    <w:aliases w:val="single space Char,ft Char1,ft Char Char,FOOTNOTES Char,fn Char,Footnote Text Char2 Char,Footnote Text Char1 Char Char,Footnote Text Char Char Char1 Char,Footnote Text Char1 Char Char Char1 Char,Footnote Text Char1 Char1 Char Char"/>
    <w:basedOn w:val="DefaultParagraphFont"/>
    <w:link w:val="FootnoteText"/>
    <w:rsid w:val="00C425A4"/>
    <w:rPr>
      <w:sz w:val="20"/>
      <w:szCs w:val="20"/>
    </w:rPr>
  </w:style>
  <w:style w:type="character" w:styleId="FootnoteReference">
    <w:name w:val="footnote reference"/>
    <w:aliases w:val="ftref,Footnote Reference1,footnote number Char Char,BVI fnr Char Char Char Char Char Char1 Char Char,BVI fnr Car Car Char Char Char Char Char Char Char Char,BVI fnr Car Char Char Char Char Char Char Char Char,BVI fnr,Footnote, BVI fnr"/>
    <w:basedOn w:val="DefaultParagraphFont"/>
    <w:link w:val="footnotenumber"/>
    <w:unhideWhenUsed/>
    <w:rsid w:val="00C425A4"/>
    <w:rPr>
      <w:vertAlign w:val="superscript"/>
    </w:rPr>
  </w:style>
  <w:style w:type="paragraph" w:styleId="Revision">
    <w:name w:val="Revision"/>
    <w:hidden/>
    <w:uiPriority w:val="99"/>
    <w:semiHidden/>
    <w:rsid w:val="00CA78D8"/>
    <w:pPr>
      <w:spacing w:after="0" w:line="240" w:lineRule="auto"/>
    </w:pPr>
    <w:rPr>
      <w:rFonts w:ascii="Arial" w:hAnsi="Arial"/>
      <w:sz w:val="20"/>
    </w:rPr>
  </w:style>
  <w:style w:type="paragraph" w:customStyle="1" w:styleId="footnotenumber">
    <w:name w:val="footnote number"/>
    <w:basedOn w:val="Normal"/>
    <w:link w:val="FootnoteReference"/>
    <w:uiPriority w:val="99"/>
    <w:rsid w:val="00480B9C"/>
    <w:pPr>
      <w:spacing w:before="0" w:after="0" w:line="240" w:lineRule="exact"/>
      <w:jc w:val="left"/>
    </w:pPr>
    <w:rPr>
      <w:rFonts w:asciiTheme="minorHAnsi" w:hAnsiTheme="minorHAnsi"/>
      <w:sz w:val="22"/>
      <w:vertAlign w:val="superscript"/>
    </w:rPr>
  </w:style>
  <w:style w:type="paragraph" w:customStyle="1" w:styleId="Termslevel1">
    <w:name w:val="_Terms level 1"/>
    <w:next w:val="Termslevel2"/>
    <w:semiHidden/>
    <w:locked/>
    <w:rsid w:val="00515E4D"/>
    <w:pPr>
      <w:numPr>
        <w:numId w:val="19"/>
      </w:numPr>
      <w:tabs>
        <w:tab w:val="left" w:pos="426"/>
      </w:tabs>
      <w:spacing w:before="170" w:after="0" w:line="240" w:lineRule="auto"/>
      <w:ind w:left="426" w:hanging="426"/>
      <w:jc w:val="left"/>
    </w:pPr>
    <w:rPr>
      <w:rFonts w:ascii="Univers 45 Light" w:eastAsia="Times New Roman" w:hAnsi="Univers 45 Light" w:cs="Arial"/>
      <w:b/>
      <w:sz w:val="17"/>
      <w:szCs w:val="24"/>
      <w:lang w:eastAsia="en-GB"/>
    </w:rPr>
  </w:style>
  <w:style w:type="paragraph" w:customStyle="1" w:styleId="Termslevel2">
    <w:name w:val="_Terms level 2"/>
    <w:basedOn w:val="Termslevel1"/>
    <w:next w:val="Termslevel3"/>
    <w:semiHidden/>
    <w:locked/>
    <w:rsid w:val="00515E4D"/>
    <w:pPr>
      <w:numPr>
        <w:ilvl w:val="1"/>
      </w:numPr>
      <w:tabs>
        <w:tab w:val="clear" w:pos="340"/>
        <w:tab w:val="left" w:pos="993"/>
      </w:tabs>
      <w:spacing w:before="0"/>
      <w:ind w:left="426" w:hanging="426"/>
    </w:pPr>
    <w:rPr>
      <w:b w:val="0"/>
      <w:sz w:val="14"/>
    </w:rPr>
  </w:style>
  <w:style w:type="paragraph" w:customStyle="1" w:styleId="Termslevel3">
    <w:name w:val="_Terms level 3"/>
    <w:basedOn w:val="Normal"/>
    <w:semiHidden/>
    <w:locked/>
    <w:rsid w:val="00515E4D"/>
    <w:pPr>
      <w:numPr>
        <w:ilvl w:val="2"/>
        <w:numId w:val="19"/>
      </w:numPr>
      <w:spacing w:line="240" w:lineRule="atLeast"/>
    </w:pPr>
    <w:rPr>
      <w:rFonts w:asciiTheme="minorHAnsi" w:eastAsia="Times New Roman" w:hAnsiTheme="minorHAnsi" w:cs="Arial"/>
      <w:sz w:val="14"/>
      <w:szCs w:val="24"/>
      <w:lang w:eastAsia="en-GB"/>
    </w:rPr>
  </w:style>
  <w:style w:type="paragraph" w:customStyle="1" w:styleId="Tablesubtitle">
    <w:name w:val="Table subtitle"/>
    <w:basedOn w:val="Tabletext"/>
    <w:qFormat/>
    <w:rsid w:val="008678BF"/>
    <w:pPr>
      <w:keepNext/>
    </w:pPr>
    <w:rPr>
      <w:b/>
      <w:sz w:val="18"/>
      <w:lang w:eastAsia="en-GB"/>
    </w:rPr>
  </w:style>
  <w:style w:type="paragraph" w:customStyle="1" w:styleId="Bullet">
    <w:name w:val="Bullet"/>
    <w:basedOn w:val="Normal"/>
    <w:qFormat/>
    <w:rsid w:val="008678BF"/>
    <w:pPr>
      <w:numPr>
        <w:numId w:val="32"/>
      </w:numPr>
      <w:spacing w:before="70" w:after="70"/>
      <w:ind w:left="1134" w:hanging="567"/>
    </w:pPr>
  </w:style>
  <w:style w:type="paragraph" w:customStyle="1" w:styleId="Bodytextprebullet">
    <w:name w:val="Body text pre bullet"/>
    <w:basedOn w:val="Normal"/>
    <w:qFormat/>
    <w:rsid w:val="008678BF"/>
    <w:pPr>
      <w:keepNext/>
    </w:pPr>
    <w:rPr>
      <w:color w:val="000000" w:themeColor="text1"/>
    </w:rPr>
  </w:style>
  <w:style w:type="paragraph" w:styleId="Quote">
    <w:name w:val="Quote"/>
    <w:basedOn w:val="Normal"/>
    <w:next w:val="Normal"/>
    <w:link w:val="QuoteChar"/>
    <w:uiPriority w:val="29"/>
    <w:qFormat/>
    <w:rsid w:val="009D3AD0"/>
    <w:pPr>
      <w:ind w:left="720" w:right="720"/>
    </w:pPr>
    <w:rPr>
      <w:i/>
      <w:iCs/>
      <w:color w:val="000000" w:themeColor="text1"/>
    </w:rPr>
  </w:style>
  <w:style w:type="character" w:customStyle="1" w:styleId="QuoteChar">
    <w:name w:val="Quote Char"/>
    <w:basedOn w:val="DefaultParagraphFont"/>
    <w:link w:val="Quote"/>
    <w:uiPriority w:val="29"/>
    <w:rsid w:val="009D3AD0"/>
    <w:rPr>
      <w:rFonts w:ascii="Arial" w:hAnsi="Arial"/>
      <w:i/>
      <w:iCs/>
      <w:color w:val="000000" w:themeColor="text1"/>
      <w:sz w:val="20"/>
    </w:rPr>
  </w:style>
  <w:style w:type="paragraph" w:customStyle="1" w:styleId="Comment">
    <w:name w:val="Comment"/>
    <w:basedOn w:val="Normal"/>
    <w:next w:val="Normal"/>
    <w:qFormat/>
    <w:rsid w:val="00F544FF"/>
    <w:rPr>
      <w:b/>
      <w:color w:val="833C0B" w:themeColor="accent2" w:themeShade="80"/>
    </w:rPr>
  </w:style>
  <w:style w:type="table" w:styleId="LightShading-Accent1">
    <w:name w:val="Light Shading Accent 1"/>
    <w:basedOn w:val="TableNormal"/>
    <w:uiPriority w:val="60"/>
    <w:rsid w:val="00F50FFC"/>
    <w:pPr>
      <w:spacing w:before="0"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Grid2-Accent1">
    <w:name w:val="Medium Grid 2 Accent 1"/>
    <w:basedOn w:val="TableNormal"/>
    <w:uiPriority w:val="68"/>
    <w:rsid w:val="00D612F6"/>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DarkList-Accent1">
    <w:name w:val="Dark List Accent 1"/>
    <w:basedOn w:val="TableNormal"/>
    <w:uiPriority w:val="70"/>
    <w:rsid w:val="00D612F6"/>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s>
</file>

<file path=word/webSettings.xml><?xml version="1.0" encoding="utf-8"?>
<w:webSettings xmlns:r="http://schemas.openxmlformats.org/officeDocument/2006/relationships" xmlns:w="http://schemas.openxmlformats.org/wordprocessingml/2006/main">
  <w:divs>
    <w:div w:id="439646239">
      <w:bodyDiv w:val="1"/>
      <w:marLeft w:val="0"/>
      <w:marRight w:val="0"/>
      <w:marTop w:val="0"/>
      <w:marBottom w:val="0"/>
      <w:divBdr>
        <w:top w:val="none" w:sz="0" w:space="0" w:color="auto"/>
        <w:left w:val="none" w:sz="0" w:space="0" w:color="auto"/>
        <w:bottom w:val="none" w:sz="0" w:space="0" w:color="auto"/>
        <w:right w:val="none" w:sz="0" w:space="0" w:color="auto"/>
      </w:divBdr>
    </w:div>
    <w:div w:id="602493951">
      <w:bodyDiv w:val="1"/>
      <w:marLeft w:val="0"/>
      <w:marRight w:val="0"/>
      <w:marTop w:val="0"/>
      <w:marBottom w:val="0"/>
      <w:divBdr>
        <w:top w:val="none" w:sz="0" w:space="0" w:color="auto"/>
        <w:left w:val="none" w:sz="0" w:space="0" w:color="auto"/>
        <w:bottom w:val="none" w:sz="0" w:space="0" w:color="auto"/>
        <w:right w:val="none" w:sz="0" w:space="0" w:color="auto"/>
      </w:divBdr>
    </w:div>
    <w:div w:id="863709631">
      <w:bodyDiv w:val="1"/>
      <w:marLeft w:val="0"/>
      <w:marRight w:val="0"/>
      <w:marTop w:val="0"/>
      <w:marBottom w:val="0"/>
      <w:divBdr>
        <w:top w:val="none" w:sz="0" w:space="0" w:color="auto"/>
        <w:left w:val="none" w:sz="0" w:space="0" w:color="auto"/>
        <w:bottom w:val="none" w:sz="0" w:space="0" w:color="auto"/>
        <w:right w:val="none" w:sz="0" w:space="0" w:color="auto"/>
      </w:divBdr>
    </w:div>
    <w:div w:id="129370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pcw.gov.ph/gw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FormDescription xmlns="fd975e69-8151-4fca-a632-77d9cf598ed0" xsi:nil="true"/>
    <FormName xmlns="fd975e69-8151-4fca-a632-77d9cf598ed0" xsi:nil="true"/>
    <FormId xmlns="fd975e69-8151-4fca-a632-77d9cf598ed0" xsi:nil="true"/>
    <ShowInCatalog xmlns="fd975e69-8151-4fca-a632-77d9cf598ed0">true</ShowInCatalog>
    <FormCategory xmlns="fd975e69-8151-4fca-a632-77d9cf598ed0" xsi:nil="true"/>
    <FormVersion xmlns="fd975e69-8151-4fca-a632-77d9cf598ed0" xsi:nil="true"/>
    <FormLocale xmlns="fd975e69-8151-4fca-a632-77d9cf598ed0" xsi:nil="true"/>
    <CustomContentTypeId xmlns="fd975e69-8151-4fca-a632-77d9cf598ed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nfoPath Form Template" ma:contentTypeID="0x010100F8EF98760CBA4A94994F13BA881038FA00BECFA538FB235C4386CD5D135E035A4D" ma:contentTypeVersion="1" ma:contentTypeDescription="A Microsoft Office InfoPath Form Template." ma:contentTypeScope="" ma:versionID="f6582e324578d9995fcf693960def2fb">
  <xsd:schema xmlns:xsd="http://www.w3.org/2001/XMLSchema" xmlns:p="http://schemas.microsoft.com/office/2006/metadata/properties" xmlns:ns2="fd975e69-8151-4fca-a632-77d9cf598ed0" targetNamespace="http://schemas.microsoft.com/office/2006/metadata/properties" ma:root="true" ma:fieldsID="9348d4e838afb5833b6dc965be496413" ns2:_="">
    <xsd:import namespace="fd975e69-8151-4fca-a632-77d9cf598ed0"/>
    <xsd:element name="properties">
      <xsd:complexType>
        <xsd:sequence>
          <xsd:element name="documentManagement">
            <xsd:complexType>
              <xsd:all>
                <xsd:element ref="ns2:FormName" minOccurs="0"/>
                <xsd:element ref="ns2:FormCategory" minOccurs="0"/>
                <xsd:element ref="ns2:FormVersion" minOccurs="0"/>
                <xsd:element ref="ns2:FormId" minOccurs="0"/>
                <xsd:element ref="ns2:FormLocale" minOccurs="0"/>
                <xsd:element ref="ns2:FormDescription" minOccurs="0"/>
                <xsd:element ref="ns2:CustomContentTypeId" minOccurs="0"/>
                <xsd:element ref="ns2:ShowInCatalog" minOccurs="0"/>
              </xsd:all>
            </xsd:complexType>
          </xsd:element>
        </xsd:sequence>
      </xsd:complexType>
    </xsd:element>
  </xsd:schema>
  <xsd:schema xmlns:xsd="http://www.w3.org/2001/XMLSchema" xmlns:dms="http://schemas.microsoft.com/office/2006/documentManagement/types" targetNamespace="fd975e69-8151-4fca-a632-77d9cf598ed0" elementFormDefault="qualified">
    <xsd:import namespace="http://schemas.microsoft.com/office/2006/documentManagement/types"/>
    <xsd:element name="FormName" ma:index="8" nillable="true" ma:displayName="Form Name" ma:internalName="FormName">
      <xsd:simpleType>
        <xsd:restriction base="dms:Text"/>
      </xsd:simpleType>
    </xsd:element>
    <xsd:element name="FormCategory" ma:index="9" nillable="true" ma:displayName="Form Category" ma:internalName="FormCategory">
      <xsd:simpleType>
        <xsd:restriction base="dms:Text"/>
      </xsd:simpleType>
    </xsd:element>
    <xsd:element name="FormVersion" ma:index="10" nillable="true" ma:displayName="Form Version" ma:internalName="FormVersion">
      <xsd:simpleType>
        <xsd:restriction base="dms:Text"/>
      </xsd:simpleType>
    </xsd:element>
    <xsd:element name="FormId" ma:index="11" nillable="true" ma:displayName="Form ID" ma:internalName="FormId">
      <xsd:simpleType>
        <xsd:restriction base="dms:Text"/>
      </xsd:simpleType>
    </xsd:element>
    <xsd:element name="FormLocale" ma:index="12" nillable="true" ma:displayName="Form Locale" ma:internalName="FormLocale">
      <xsd:simpleType>
        <xsd:restriction base="dms:Text"/>
      </xsd:simpleType>
    </xsd:element>
    <xsd:element name="FormDescription" ma:index="13" nillable="true" ma:displayName="Form Description" ma:internalName="FormDescription">
      <xsd:simpleType>
        <xsd:restriction base="dms:Text"/>
      </xsd:simpleType>
    </xsd:element>
    <xsd:element name="CustomContentTypeId" ma:index="14" nillable="true" ma:displayName="Content Type ID" ma:hidden="true" ma:internalName="CustomContentTypeId">
      <xsd:simpleType>
        <xsd:restriction base="dms:Text"/>
      </xsd:simpleType>
    </xsd:element>
    <xsd:element name="ShowInCatalog" ma:index="15" nillable="true" ma:displayName="Show in Catalog" ma:default="TRUE" ma:internalName="ShowInCatalog">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664EB-D22E-4883-B53B-642FE1EAAD55}">
  <ds:schemaRefs>
    <ds:schemaRef ds:uri="http://schemas.microsoft.com/office/2006/metadata/properties"/>
    <ds:schemaRef ds:uri="fd975e69-8151-4fca-a632-77d9cf598ed0"/>
  </ds:schemaRefs>
</ds:datastoreItem>
</file>

<file path=customXml/itemProps2.xml><?xml version="1.0" encoding="utf-8"?>
<ds:datastoreItem xmlns:ds="http://schemas.openxmlformats.org/officeDocument/2006/customXml" ds:itemID="{7490E40C-31E2-42ED-BEA5-38495E7FACF2}">
  <ds:schemaRefs>
    <ds:schemaRef ds:uri="http://schemas.microsoft.com/sharepoint/v3/contenttype/forms"/>
  </ds:schemaRefs>
</ds:datastoreItem>
</file>

<file path=customXml/itemProps3.xml><?xml version="1.0" encoding="utf-8"?>
<ds:datastoreItem xmlns:ds="http://schemas.openxmlformats.org/officeDocument/2006/customXml" ds:itemID="{5F7145A2-C1DB-4B30-8F19-C18995E08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975e69-8151-4fca-a632-77d9cf598ed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97CACDA-4615-4370-BB63-92B23389F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KPMG UK LLP</Company>
  <LinksUpToDate>false</LinksUpToDate>
  <CharactersWithSpaces>10503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KPMG UK LLP</dc:creator>
  <cp:lastModifiedBy>slack</cp:lastModifiedBy>
  <cp:revision>18</cp:revision>
  <cp:lastPrinted>2016-05-30T19:01:00Z</cp:lastPrinted>
  <dcterms:created xsi:type="dcterms:W3CDTF">2016-06-03T13:21:00Z</dcterms:created>
  <dcterms:modified xsi:type="dcterms:W3CDTF">2016-06-09T18:19:00Z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0x010100F8EF98760CBA4A94994F13BA881038FA00BECFA538FB235C4386CD5D135E035A4D</vt:lpwstr>
  </property>
</Properties>
</file>