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52F" w:rsidRPr="00A54DE8" w:rsidRDefault="00BA452F" w:rsidP="00BA452F">
      <w:pPr>
        <w:jc w:val="center"/>
        <w:rPr>
          <w:rFonts w:cs="Arial"/>
          <w:b/>
          <w:color w:val="2E74B5" w:themeColor="accent1" w:themeShade="BF"/>
          <w:sz w:val="28"/>
        </w:rPr>
      </w:pPr>
      <w:r w:rsidRPr="00A54DE8">
        <w:rPr>
          <w:rFonts w:cs="Arial"/>
          <w:b/>
          <w:color w:val="2E74B5" w:themeColor="accent1" w:themeShade="BF"/>
          <w:sz w:val="28"/>
        </w:rPr>
        <w:t>Gender a</w:t>
      </w:r>
      <w:r w:rsidR="00A54DE8">
        <w:rPr>
          <w:rFonts w:cs="Arial"/>
          <w:b/>
          <w:color w:val="2E74B5" w:themeColor="accent1" w:themeShade="BF"/>
          <w:sz w:val="28"/>
        </w:rPr>
        <w:t>nd Business Environment Reform</w:t>
      </w:r>
      <w:proofErr w:type="gramStart"/>
      <w:r w:rsidR="00A54DE8">
        <w:rPr>
          <w:rFonts w:cs="Arial"/>
          <w:b/>
          <w:color w:val="2E74B5" w:themeColor="accent1" w:themeShade="BF"/>
          <w:sz w:val="28"/>
        </w:rPr>
        <w:t>:</w:t>
      </w:r>
      <w:proofErr w:type="gramEnd"/>
      <w:r w:rsidR="00A54DE8">
        <w:rPr>
          <w:rFonts w:cs="Arial"/>
          <w:b/>
          <w:color w:val="2E74B5" w:themeColor="accent1" w:themeShade="BF"/>
          <w:sz w:val="28"/>
        </w:rPr>
        <w:br/>
      </w:r>
      <w:r w:rsidR="001C27BA">
        <w:rPr>
          <w:rFonts w:cs="Arial"/>
          <w:b/>
          <w:color w:val="2E74B5" w:themeColor="accent1" w:themeShade="BF"/>
          <w:sz w:val="28"/>
        </w:rPr>
        <w:t>What is “Best Practice”?</w:t>
      </w:r>
    </w:p>
    <w:p w:rsidR="001618BE" w:rsidRDefault="001618BE" w:rsidP="00485B5D">
      <w:pPr>
        <w:pStyle w:val="Heading1"/>
      </w:pPr>
      <w:bookmarkStart w:id="0" w:name="_Toc453752554"/>
      <w:r>
        <w:t>Executive Summary</w:t>
      </w:r>
      <w:bookmarkEnd w:id="0"/>
    </w:p>
    <w:p w:rsidR="00A2744A" w:rsidRPr="00A2744A" w:rsidRDefault="00A2744A" w:rsidP="00A2744A"/>
    <w:p w:rsidR="001618BE" w:rsidRDefault="001618BE" w:rsidP="00485B5D">
      <w:pPr>
        <w:pStyle w:val="Heading1"/>
      </w:pPr>
      <w:bookmarkStart w:id="1" w:name="_Toc453752555"/>
      <w:r>
        <w:t>Contents</w:t>
      </w:r>
      <w:bookmarkEnd w:id="1"/>
    </w:p>
    <w:sdt>
      <w:sdtPr>
        <w:id w:val="168405688"/>
        <w:docPartObj>
          <w:docPartGallery w:val="Table of Contents"/>
          <w:docPartUnique/>
        </w:docPartObj>
      </w:sdtPr>
      <w:sdtContent>
        <w:p w:rsidR="000D1212" w:rsidRDefault="000D1212" w:rsidP="000D1212"/>
        <w:p w:rsidR="000D1212" w:rsidRDefault="000D1212">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53752554" w:history="1">
            <w:r w:rsidRPr="004157CB">
              <w:rPr>
                <w:rStyle w:val="Hyperlink"/>
                <w:noProof/>
              </w:rPr>
              <w:t>1.</w:t>
            </w:r>
            <w:r>
              <w:rPr>
                <w:rFonts w:asciiTheme="minorHAnsi" w:eastAsiaTheme="minorEastAsia" w:hAnsiTheme="minorHAnsi"/>
                <w:noProof/>
                <w:sz w:val="22"/>
                <w:lang w:eastAsia="en-GB"/>
              </w:rPr>
              <w:tab/>
            </w:r>
            <w:r w:rsidRPr="004157CB">
              <w:rPr>
                <w:rStyle w:val="Hyperlink"/>
                <w:noProof/>
              </w:rPr>
              <w:t>Executive Summary</w:t>
            </w:r>
            <w:r>
              <w:rPr>
                <w:noProof/>
                <w:webHidden/>
              </w:rPr>
              <w:tab/>
            </w:r>
            <w:r>
              <w:rPr>
                <w:noProof/>
                <w:webHidden/>
              </w:rPr>
              <w:fldChar w:fldCharType="begin"/>
            </w:r>
            <w:r>
              <w:rPr>
                <w:noProof/>
                <w:webHidden/>
              </w:rPr>
              <w:instrText xml:space="preserve"> PAGEREF _Toc453752554 \h </w:instrText>
            </w:r>
            <w:r>
              <w:rPr>
                <w:noProof/>
                <w:webHidden/>
              </w:rPr>
            </w:r>
            <w:r>
              <w:rPr>
                <w:noProof/>
                <w:webHidden/>
              </w:rPr>
              <w:fldChar w:fldCharType="separate"/>
            </w:r>
            <w:r>
              <w:rPr>
                <w:noProof/>
                <w:webHidden/>
              </w:rPr>
              <w:t>1</w:t>
            </w:r>
            <w:r>
              <w:rPr>
                <w:noProof/>
                <w:webHidden/>
              </w:rPr>
              <w:fldChar w:fldCharType="end"/>
            </w:r>
          </w:hyperlink>
        </w:p>
        <w:p w:rsidR="000D1212" w:rsidRDefault="000D1212">
          <w:pPr>
            <w:pStyle w:val="TOC1"/>
            <w:tabs>
              <w:tab w:val="left" w:pos="440"/>
              <w:tab w:val="right" w:leader="dot" w:pos="9016"/>
            </w:tabs>
            <w:rPr>
              <w:rFonts w:asciiTheme="minorHAnsi" w:eastAsiaTheme="minorEastAsia" w:hAnsiTheme="minorHAnsi"/>
              <w:noProof/>
              <w:sz w:val="22"/>
              <w:lang w:eastAsia="en-GB"/>
            </w:rPr>
          </w:pPr>
          <w:hyperlink w:anchor="_Toc453752555" w:history="1">
            <w:r w:rsidRPr="004157CB">
              <w:rPr>
                <w:rStyle w:val="Hyperlink"/>
                <w:noProof/>
              </w:rPr>
              <w:t>2.</w:t>
            </w:r>
            <w:r>
              <w:rPr>
                <w:rFonts w:asciiTheme="minorHAnsi" w:eastAsiaTheme="minorEastAsia" w:hAnsiTheme="minorHAnsi"/>
                <w:noProof/>
                <w:sz w:val="22"/>
                <w:lang w:eastAsia="en-GB"/>
              </w:rPr>
              <w:tab/>
            </w:r>
            <w:r w:rsidRPr="004157CB">
              <w:rPr>
                <w:rStyle w:val="Hyperlink"/>
                <w:noProof/>
              </w:rPr>
              <w:t>Contents</w:t>
            </w:r>
            <w:r>
              <w:rPr>
                <w:noProof/>
                <w:webHidden/>
              </w:rPr>
              <w:tab/>
            </w:r>
            <w:r>
              <w:rPr>
                <w:noProof/>
                <w:webHidden/>
              </w:rPr>
              <w:fldChar w:fldCharType="begin"/>
            </w:r>
            <w:r>
              <w:rPr>
                <w:noProof/>
                <w:webHidden/>
              </w:rPr>
              <w:instrText xml:space="preserve"> PAGEREF _Toc453752555 \h </w:instrText>
            </w:r>
            <w:r>
              <w:rPr>
                <w:noProof/>
                <w:webHidden/>
              </w:rPr>
            </w:r>
            <w:r>
              <w:rPr>
                <w:noProof/>
                <w:webHidden/>
              </w:rPr>
              <w:fldChar w:fldCharType="separate"/>
            </w:r>
            <w:r>
              <w:rPr>
                <w:noProof/>
                <w:webHidden/>
              </w:rPr>
              <w:t>1</w:t>
            </w:r>
            <w:r>
              <w:rPr>
                <w:noProof/>
                <w:webHidden/>
              </w:rPr>
              <w:fldChar w:fldCharType="end"/>
            </w:r>
          </w:hyperlink>
        </w:p>
        <w:p w:rsidR="000D1212" w:rsidRDefault="000D1212">
          <w:pPr>
            <w:pStyle w:val="TOC1"/>
            <w:tabs>
              <w:tab w:val="left" w:pos="440"/>
              <w:tab w:val="right" w:leader="dot" w:pos="9016"/>
            </w:tabs>
            <w:rPr>
              <w:rFonts w:asciiTheme="minorHAnsi" w:eastAsiaTheme="minorEastAsia" w:hAnsiTheme="minorHAnsi"/>
              <w:noProof/>
              <w:sz w:val="22"/>
              <w:lang w:eastAsia="en-GB"/>
            </w:rPr>
          </w:pPr>
          <w:hyperlink w:anchor="_Toc453752556" w:history="1">
            <w:r w:rsidRPr="004157CB">
              <w:rPr>
                <w:rStyle w:val="Hyperlink"/>
                <w:noProof/>
              </w:rPr>
              <w:t>3.</w:t>
            </w:r>
            <w:r>
              <w:rPr>
                <w:rFonts w:asciiTheme="minorHAnsi" w:eastAsiaTheme="minorEastAsia" w:hAnsiTheme="minorHAnsi"/>
                <w:noProof/>
                <w:sz w:val="22"/>
                <w:lang w:eastAsia="en-GB"/>
              </w:rPr>
              <w:tab/>
            </w:r>
            <w:r w:rsidRPr="004157CB">
              <w:rPr>
                <w:rStyle w:val="Hyperlink"/>
                <w:noProof/>
              </w:rPr>
              <w:t>Introduction</w:t>
            </w:r>
            <w:r>
              <w:rPr>
                <w:noProof/>
                <w:webHidden/>
              </w:rPr>
              <w:tab/>
            </w:r>
            <w:r>
              <w:rPr>
                <w:noProof/>
                <w:webHidden/>
              </w:rPr>
              <w:fldChar w:fldCharType="begin"/>
            </w:r>
            <w:r>
              <w:rPr>
                <w:noProof/>
                <w:webHidden/>
              </w:rPr>
              <w:instrText xml:space="preserve"> PAGEREF _Toc453752556 \h </w:instrText>
            </w:r>
            <w:r>
              <w:rPr>
                <w:noProof/>
                <w:webHidden/>
              </w:rPr>
            </w:r>
            <w:r>
              <w:rPr>
                <w:noProof/>
                <w:webHidden/>
              </w:rPr>
              <w:fldChar w:fldCharType="separate"/>
            </w:r>
            <w:r>
              <w:rPr>
                <w:noProof/>
                <w:webHidden/>
              </w:rPr>
              <w:t>1</w:t>
            </w:r>
            <w:r>
              <w:rPr>
                <w:noProof/>
                <w:webHidden/>
              </w:rPr>
              <w:fldChar w:fldCharType="end"/>
            </w:r>
          </w:hyperlink>
        </w:p>
        <w:p w:rsidR="000D1212" w:rsidRDefault="000D1212">
          <w:pPr>
            <w:pStyle w:val="TOC1"/>
            <w:tabs>
              <w:tab w:val="left" w:pos="440"/>
              <w:tab w:val="right" w:leader="dot" w:pos="9016"/>
            </w:tabs>
            <w:rPr>
              <w:rFonts w:asciiTheme="minorHAnsi" w:eastAsiaTheme="minorEastAsia" w:hAnsiTheme="minorHAnsi"/>
              <w:noProof/>
              <w:sz w:val="22"/>
              <w:lang w:eastAsia="en-GB"/>
            </w:rPr>
          </w:pPr>
          <w:hyperlink w:anchor="_Toc453752557" w:history="1">
            <w:r w:rsidRPr="004157CB">
              <w:rPr>
                <w:rStyle w:val="Hyperlink"/>
                <w:noProof/>
              </w:rPr>
              <w:t>4.</w:t>
            </w:r>
            <w:r>
              <w:rPr>
                <w:rFonts w:asciiTheme="minorHAnsi" w:eastAsiaTheme="minorEastAsia" w:hAnsiTheme="minorHAnsi"/>
                <w:noProof/>
                <w:sz w:val="22"/>
                <w:lang w:eastAsia="en-GB"/>
              </w:rPr>
              <w:tab/>
            </w:r>
            <w:r w:rsidRPr="004157CB">
              <w:rPr>
                <w:rStyle w:val="Hyperlink"/>
                <w:noProof/>
              </w:rPr>
              <w:t>Definitions</w:t>
            </w:r>
            <w:r>
              <w:rPr>
                <w:noProof/>
                <w:webHidden/>
              </w:rPr>
              <w:tab/>
            </w:r>
            <w:r>
              <w:rPr>
                <w:noProof/>
                <w:webHidden/>
              </w:rPr>
              <w:fldChar w:fldCharType="begin"/>
            </w:r>
            <w:r>
              <w:rPr>
                <w:noProof/>
                <w:webHidden/>
              </w:rPr>
              <w:instrText xml:space="preserve"> PAGEREF _Toc453752557 \h </w:instrText>
            </w:r>
            <w:r>
              <w:rPr>
                <w:noProof/>
                <w:webHidden/>
              </w:rPr>
            </w:r>
            <w:r>
              <w:rPr>
                <w:noProof/>
                <w:webHidden/>
              </w:rPr>
              <w:fldChar w:fldCharType="separate"/>
            </w:r>
            <w:r>
              <w:rPr>
                <w:noProof/>
                <w:webHidden/>
              </w:rPr>
              <w:t>1</w:t>
            </w:r>
            <w:r>
              <w:rPr>
                <w:noProof/>
                <w:webHidden/>
              </w:rPr>
              <w:fldChar w:fldCharType="end"/>
            </w:r>
          </w:hyperlink>
        </w:p>
        <w:p w:rsidR="000D1212" w:rsidRDefault="000D1212">
          <w:pPr>
            <w:pStyle w:val="TOC1"/>
            <w:tabs>
              <w:tab w:val="left" w:pos="440"/>
              <w:tab w:val="right" w:leader="dot" w:pos="9016"/>
            </w:tabs>
            <w:rPr>
              <w:rFonts w:asciiTheme="minorHAnsi" w:eastAsiaTheme="minorEastAsia" w:hAnsiTheme="minorHAnsi"/>
              <w:noProof/>
              <w:sz w:val="22"/>
              <w:lang w:eastAsia="en-GB"/>
            </w:rPr>
          </w:pPr>
          <w:hyperlink w:anchor="_Toc453752558" w:history="1">
            <w:r w:rsidRPr="004157CB">
              <w:rPr>
                <w:rStyle w:val="Hyperlink"/>
                <w:noProof/>
              </w:rPr>
              <w:t>5.</w:t>
            </w:r>
            <w:r>
              <w:rPr>
                <w:rFonts w:asciiTheme="minorHAnsi" w:eastAsiaTheme="minorEastAsia" w:hAnsiTheme="minorHAnsi"/>
                <w:noProof/>
                <w:sz w:val="22"/>
                <w:lang w:eastAsia="en-GB"/>
              </w:rPr>
              <w:tab/>
            </w:r>
            <w:r w:rsidRPr="004157CB">
              <w:rPr>
                <w:rStyle w:val="Hyperlink"/>
                <w:noProof/>
              </w:rPr>
              <w:t>Approaches to Gender Analysis and Programming</w:t>
            </w:r>
            <w:r>
              <w:rPr>
                <w:noProof/>
                <w:webHidden/>
              </w:rPr>
              <w:tab/>
            </w:r>
            <w:r>
              <w:rPr>
                <w:noProof/>
                <w:webHidden/>
              </w:rPr>
              <w:fldChar w:fldCharType="begin"/>
            </w:r>
            <w:r>
              <w:rPr>
                <w:noProof/>
                <w:webHidden/>
              </w:rPr>
              <w:instrText xml:space="preserve"> PAGEREF _Toc453752558 \h </w:instrText>
            </w:r>
            <w:r>
              <w:rPr>
                <w:noProof/>
                <w:webHidden/>
              </w:rPr>
            </w:r>
            <w:r>
              <w:rPr>
                <w:noProof/>
                <w:webHidden/>
              </w:rPr>
              <w:fldChar w:fldCharType="separate"/>
            </w:r>
            <w:r>
              <w:rPr>
                <w:noProof/>
                <w:webHidden/>
              </w:rPr>
              <w:t>1</w:t>
            </w:r>
            <w:r>
              <w:rPr>
                <w:noProof/>
                <w:webHidden/>
              </w:rPr>
              <w:fldChar w:fldCharType="end"/>
            </w:r>
          </w:hyperlink>
        </w:p>
        <w:p w:rsidR="000D1212" w:rsidRDefault="000D1212">
          <w:pPr>
            <w:pStyle w:val="TOC2"/>
            <w:tabs>
              <w:tab w:val="left" w:pos="880"/>
              <w:tab w:val="right" w:leader="dot" w:pos="9016"/>
            </w:tabs>
            <w:rPr>
              <w:noProof/>
            </w:rPr>
          </w:pPr>
          <w:hyperlink w:anchor="_Toc453752559" w:history="1">
            <w:r w:rsidRPr="004157CB">
              <w:rPr>
                <w:rStyle w:val="Hyperlink"/>
                <w:noProof/>
              </w:rPr>
              <w:t>5.1</w:t>
            </w:r>
            <w:r>
              <w:rPr>
                <w:noProof/>
              </w:rPr>
              <w:tab/>
            </w:r>
            <w:r w:rsidRPr="004157CB">
              <w:rPr>
                <w:rStyle w:val="Hyperlink"/>
                <w:noProof/>
              </w:rPr>
              <w:t>Best Practice</w:t>
            </w:r>
            <w:r>
              <w:rPr>
                <w:noProof/>
                <w:webHidden/>
              </w:rPr>
              <w:tab/>
            </w:r>
            <w:r>
              <w:rPr>
                <w:noProof/>
                <w:webHidden/>
              </w:rPr>
              <w:fldChar w:fldCharType="begin"/>
            </w:r>
            <w:r>
              <w:rPr>
                <w:noProof/>
                <w:webHidden/>
              </w:rPr>
              <w:instrText xml:space="preserve"> PAGEREF _Toc453752559 \h </w:instrText>
            </w:r>
            <w:r>
              <w:rPr>
                <w:noProof/>
                <w:webHidden/>
              </w:rPr>
            </w:r>
            <w:r>
              <w:rPr>
                <w:noProof/>
                <w:webHidden/>
              </w:rPr>
              <w:fldChar w:fldCharType="separate"/>
            </w:r>
            <w:r>
              <w:rPr>
                <w:noProof/>
                <w:webHidden/>
              </w:rPr>
              <w:t>2</w:t>
            </w:r>
            <w:r>
              <w:rPr>
                <w:noProof/>
                <w:webHidden/>
              </w:rPr>
              <w:fldChar w:fldCharType="end"/>
            </w:r>
          </w:hyperlink>
        </w:p>
        <w:p w:rsidR="000D1212" w:rsidRDefault="000D1212">
          <w:pPr>
            <w:pStyle w:val="TOC1"/>
            <w:tabs>
              <w:tab w:val="left" w:pos="440"/>
              <w:tab w:val="right" w:leader="dot" w:pos="9016"/>
            </w:tabs>
            <w:rPr>
              <w:rFonts w:asciiTheme="minorHAnsi" w:eastAsiaTheme="minorEastAsia" w:hAnsiTheme="minorHAnsi"/>
              <w:noProof/>
              <w:sz w:val="22"/>
              <w:lang w:eastAsia="en-GB"/>
            </w:rPr>
          </w:pPr>
          <w:hyperlink w:anchor="_Toc453752560" w:history="1">
            <w:r w:rsidRPr="004157CB">
              <w:rPr>
                <w:rStyle w:val="Hyperlink"/>
                <w:noProof/>
              </w:rPr>
              <w:t>6.</w:t>
            </w:r>
            <w:r>
              <w:rPr>
                <w:rFonts w:asciiTheme="minorHAnsi" w:eastAsiaTheme="minorEastAsia" w:hAnsiTheme="minorHAnsi"/>
                <w:noProof/>
                <w:sz w:val="22"/>
                <w:lang w:eastAsia="en-GB"/>
              </w:rPr>
              <w:tab/>
            </w:r>
            <w:r w:rsidRPr="004157CB">
              <w:rPr>
                <w:rStyle w:val="Hyperlink"/>
                <w:noProof/>
              </w:rPr>
              <w:t>Summary of Evidence</w:t>
            </w:r>
            <w:r>
              <w:rPr>
                <w:noProof/>
                <w:webHidden/>
              </w:rPr>
              <w:tab/>
            </w:r>
            <w:r>
              <w:rPr>
                <w:noProof/>
                <w:webHidden/>
              </w:rPr>
              <w:fldChar w:fldCharType="begin"/>
            </w:r>
            <w:r>
              <w:rPr>
                <w:noProof/>
                <w:webHidden/>
              </w:rPr>
              <w:instrText xml:space="preserve"> PAGEREF _Toc453752560 \h </w:instrText>
            </w:r>
            <w:r>
              <w:rPr>
                <w:noProof/>
                <w:webHidden/>
              </w:rPr>
            </w:r>
            <w:r>
              <w:rPr>
                <w:noProof/>
                <w:webHidden/>
              </w:rPr>
              <w:fldChar w:fldCharType="separate"/>
            </w:r>
            <w:r>
              <w:rPr>
                <w:noProof/>
                <w:webHidden/>
              </w:rPr>
              <w:t>3</w:t>
            </w:r>
            <w:r>
              <w:rPr>
                <w:noProof/>
                <w:webHidden/>
              </w:rPr>
              <w:fldChar w:fldCharType="end"/>
            </w:r>
          </w:hyperlink>
        </w:p>
        <w:p w:rsidR="000D1212" w:rsidRDefault="000D1212">
          <w:pPr>
            <w:pStyle w:val="TOC2"/>
            <w:tabs>
              <w:tab w:val="left" w:pos="880"/>
              <w:tab w:val="right" w:leader="dot" w:pos="9016"/>
            </w:tabs>
            <w:rPr>
              <w:noProof/>
            </w:rPr>
          </w:pPr>
          <w:hyperlink w:anchor="_Toc453752561" w:history="1">
            <w:r w:rsidRPr="004157CB">
              <w:rPr>
                <w:rStyle w:val="Hyperlink"/>
                <w:noProof/>
              </w:rPr>
              <w:t>6.1</w:t>
            </w:r>
            <w:r>
              <w:rPr>
                <w:noProof/>
              </w:rPr>
              <w:tab/>
            </w:r>
            <w:r w:rsidRPr="004157CB">
              <w:rPr>
                <w:rStyle w:val="Hyperlink"/>
                <w:noProof/>
              </w:rPr>
              <w:t>Women’s Legal Rights and Outcomes</w:t>
            </w:r>
            <w:r>
              <w:rPr>
                <w:noProof/>
                <w:webHidden/>
              </w:rPr>
              <w:tab/>
            </w:r>
            <w:r>
              <w:rPr>
                <w:noProof/>
                <w:webHidden/>
              </w:rPr>
              <w:fldChar w:fldCharType="begin"/>
            </w:r>
            <w:r>
              <w:rPr>
                <w:noProof/>
                <w:webHidden/>
              </w:rPr>
              <w:instrText xml:space="preserve"> PAGEREF _Toc453752561 \h </w:instrText>
            </w:r>
            <w:r>
              <w:rPr>
                <w:noProof/>
                <w:webHidden/>
              </w:rPr>
            </w:r>
            <w:r>
              <w:rPr>
                <w:noProof/>
                <w:webHidden/>
              </w:rPr>
              <w:fldChar w:fldCharType="separate"/>
            </w:r>
            <w:r>
              <w:rPr>
                <w:noProof/>
                <w:webHidden/>
              </w:rPr>
              <w:t>3</w:t>
            </w:r>
            <w:r>
              <w:rPr>
                <w:noProof/>
                <w:webHidden/>
              </w:rPr>
              <w:fldChar w:fldCharType="end"/>
            </w:r>
          </w:hyperlink>
        </w:p>
        <w:p w:rsidR="000D1212" w:rsidRDefault="000D1212">
          <w:pPr>
            <w:pStyle w:val="TOC2"/>
            <w:tabs>
              <w:tab w:val="left" w:pos="880"/>
              <w:tab w:val="right" w:leader="dot" w:pos="9016"/>
            </w:tabs>
            <w:rPr>
              <w:noProof/>
            </w:rPr>
          </w:pPr>
          <w:hyperlink w:anchor="_Toc453752562" w:history="1">
            <w:r w:rsidRPr="004157CB">
              <w:rPr>
                <w:rStyle w:val="Hyperlink"/>
                <w:noProof/>
              </w:rPr>
              <w:t>6.2</w:t>
            </w:r>
            <w:r>
              <w:rPr>
                <w:noProof/>
              </w:rPr>
              <w:tab/>
            </w:r>
            <w:r w:rsidRPr="004157CB">
              <w:rPr>
                <w:rStyle w:val="Hyperlink"/>
                <w:noProof/>
              </w:rPr>
              <w:t>Childcare</w:t>
            </w:r>
            <w:r>
              <w:rPr>
                <w:noProof/>
                <w:webHidden/>
              </w:rPr>
              <w:tab/>
            </w:r>
            <w:r>
              <w:rPr>
                <w:noProof/>
                <w:webHidden/>
              </w:rPr>
              <w:fldChar w:fldCharType="begin"/>
            </w:r>
            <w:r>
              <w:rPr>
                <w:noProof/>
                <w:webHidden/>
              </w:rPr>
              <w:instrText xml:space="preserve"> PAGEREF _Toc453752562 \h </w:instrText>
            </w:r>
            <w:r>
              <w:rPr>
                <w:noProof/>
                <w:webHidden/>
              </w:rPr>
            </w:r>
            <w:r>
              <w:rPr>
                <w:noProof/>
                <w:webHidden/>
              </w:rPr>
              <w:fldChar w:fldCharType="separate"/>
            </w:r>
            <w:r>
              <w:rPr>
                <w:noProof/>
                <w:webHidden/>
              </w:rPr>
              <w:t>4</w:t>
            </w:r>
            <w:r>
              <w:rPr>
                <w:noProof/>
                <w:webHidden/>
              </w:rPr>
              <w:fldChar w:fldCharType="end"/>
            </w:r>
          </w:hyperlink>
        </w:p>
        <w:p w:rsidR="000D1212" w:rsidRDefault="000D1212">
          <w:pPr>
            <w:pStyle w:val="TOC2"/>
            <w:tabs>
              <w:tab w:val="left" w:pos="880"/>
              <w:tab w:val="right" w:leader="dot" w:pos="9016"/>
            </w:tabs>
            <w:rPr>
              <w:noProof/>
            </w:rPr>
          </w:pPr>
          <w:hyperlink w:anchor="_Toc453752563" w:history="1">
            <w:r w:rsidRPr="004157CB">
              <w:rPr>
                <w:rStyle w:val="Hyperlink"/>
                <w:noProof/>
              </w:rPr>
              <w:t>6.3</w:t>
            </w:r>
            <w:r>
              <w:rPr>
                <w:noProof/>
              </w:rPr>
              <w:tab/>
            </w:r>
            <w:r w:rsidRPr="004157CB">
              <w:rPr>
                <w:rStyle w:val="Hyperlink"/>
                <w:noProof/>
              </w:rPr>
              <w:t>Formalisation</w:t>
            </w:r>
            <w:r>
              <w:rPr>
                <w:noProof/>
                <w:webHidden/>
              </w:rPr>
              <w:tab/>
            </w:r>
            <w:r>
              <w:rPr>
                <w:noProof/>
                <w:webHidden/>
              </w:rPr>
              <w:fldChar w:fldCharType="begin"/>
            </w:r>
            <w:r>
              <w:rPr>
                <w:noProof/>
                <w:webHidden/>
              </w:rPr>
              <w:instrText xml:space="preserve"> PAGEREF _Toc453752563 \h </w:instrText>
            </w:r>
            <w:r>
              <w:rPr>
                <w:noProof/>
                <w:webHidden/>
              </w:rPr>
            </w:r>
            <w:r>
              <w:rPr>
                <w:noProof/>
                <w:webHidden/>
              </w:rPr>
              <w:fldChar w:fldCharType="separate"/>
            </w:r>
            <w:r>
              <w:rPr>
                <w:noProof/>
                <w:webHidden/>
              </w:rPr>
              <w:t>4</w:t>
            </w:r>
            <w:r>
              <w:rPr>
                <w:noProof/>
                <w:webHidden/>
              </w:rPr>
              <w:fldChar w:fldCharType="end"/>
            </w:r>
          </w:hyperlink>
        </w:p>
        <w:p w:rsidR="000D1212" w:rsidRDefault="000D1212">
          <w:pPr>
            <w:pStyle w:val="TOC1"/>
            <w:tabs>
              <w:tab w:val="left" w:pos="440"/>
              <w:tab w:val="right" w:leader="dot" w:pos="9016"/>
            </w:tabs>
            <w:rPr>
              <w:rFonts w:asciiTheme="minorHAnsi" w:eastAsiaTheme="minorEastAsia" w:hAnsiTheme="minorHAnsi"/>
              <w:noProof/>
              <w:sz w:val="22"/>
              <w:lang w:eastAsia="en-GB"/>
            </w:rPr>
          </w:pPr>
          <w:hyperlink w:anchor="_Toc453752564" w:history="1">
            <w:r w:rsidRPr="004157CB">
              <w:rPr>
                <w:rStyle w:val="Hyperlink"/>
                <w:noProof/>
              </w:rPr>
              <w:t>7.</w:t>
            </w:r>
            <w:r>
              <w:rPr>
                <w:rFonts w:asciiTheme="minorHAnsi" w:eastAsiaTheme="minorEastAsia" w:hAnsiTheme="minorHAnsi"/>
                <w:noProof/>
                <w:sz w:val="22"/>
                <w:lang w:eastAsia="en-GB"/>
              </w:rPr>
              <w:tab/>
            </w:r>
            <w:r w:rsidRPr="004157CB">
              <w:rPr>
                <w:rStyle w:val="Hyperlink"/>
                <w:noProof/>
              </w:rPr>
              <w:t>Case Study: Bangladesh Investment Climate Facility</w:t>
            </w:r>
            <w:r>
              <w:rPr>
                <w:noProof/>
                <w:webHidden/>
              </w:rPr>
              <w:tab/>
            </w:r>
            <w:r>
              <w:rPr>
                <w:noProof/>
                <w:webHidden/>
              </w:rPr>
              <w:fldChar w:fldCharType="begin"/>
            </w:r>
            <w:r>
              <w:rPr>
                <w:noProof/>
                <w:webHidden/>
              </w:rPr>
              <w:instrText xml:space="preserve"> PAGEREF _Toc453752564 \h </w:instrText>
            </w:r>
            <w:r>
              <w:rPr>
                <w:noProof/>
                <w:webHidden/>
              </w:rPr>
            </w:r>
            <w:r>
              <w:rPr>
                <w:noProof/>
                <w:webHidden/>
              </w:rPr>
              <w:fldChar w:fldCharType="separate"/>
            </w:r>
            <w:r>
              <w:rPr>
                <w:noProof/>
                <w:webHidden/>
              </w:rPr>
              <w:t>5</w:t>
            </w:r>
            <w:r>
              <w:rPr>
                <w:noProof/>
                <w:webHidden/>
              </w:rPr>
              <w:fldChar w:fldCharType="end"/>
            </w:r>
          </w:hyperlink>
        </w:p>
        <w:p w:rsidR="000D1212" w:rsidRDefault="000D1212">
          <w:pPr>
            <w:pStyle w:val="TOC1"/>
            <w:tabs>
              <w:tab w:val="left" w:pos="440"/>
              <w:tab w:val="right" w:leader="dot" w:pos="9016"/>
            </w:tabs>
            <w:rPr>
              <w:rFonts w:asciiTheme="minorHAnsi" w:eastAsiaTheme="minorEastAsia" w:hAnsiTheme="minorHAnsi"/>
              <w:noProof/>
              <w:sz w:val="22"/>
              <w:lang w:eastAsia="en-GB"/>
            </w:rPr>
          </w:pPr>
          <w:hyperlink w:anchor="_Toc453752565" w:history="1">
            <w:r w:rsidRPr="004157CB">
              <w:rPr>
                <w:rStyle w:val="Hyperlink"/>
                <w:noProof/>
              </w:rPr>
              <w:t>8.</w:t>
            </w:r>
            <w:r>
              <w:rPr>
                <w:rFonts w:asciiTheme="minorHAnsi" w:eastAsiaTheme="minorEastAsia" w:hAnsiTheme="minorHAnsi"/>
                <w:noProof/>
                <w:sz w:val="22"/>
                <w:lang w:eastAsia="en-GB"/>
              </w:rPr>
              <w:tab/>
            </w:r>
            <w:r w:rsidRPr="004157CB">
              <w:rPr>
                <w:rStyle w:val="Hyperlink"/>
                <w:noProof/>
              </w:rPr>
              <w:t>Innovation and Learning</w:t>
            </w:r>
            <w:r>
              <w:rPr>
                <w:noProof/>
                <w:webHidden/>
              </w:rPr>
              <w:tab/>
            </w:r>
            <w:r>
              <w:rPr>
                <w:noProof/>
                <w:webHidden/>
              </w:rPr>
              <w:fldChar w:fldCharType="begin"/>
            </w:r>
            <w:r>
              <w:rPr>
                <w:noProof/>
                <w:webHidden/>
              </w:rPr>
              <w:instrText xml:space="preserve"> PAGEREF _Toc453752565 \h </w:instrText>
            </w:r>
            <w:r>
              <w:rPr>
                <w:noProof/>
                <w:webHidden/>
              </w:rPr>
            </w:r>
            <w:r>
              <w:rPr>
                <w:noProof/>
                <w:webHidden/>
              </w:rPr>
              <w:fldChar w:fldCharType="separate"/>
            </w:r>
            <w:r>
              <w:rPr>
                <w:noProof/>
                <w:webHidden/>
              </w:rPr>
              <w:t>5</w:t>
            </w:r>
            <w:r>
              <w:rPr>
                <w:noProof/>
                <w:webHidden/>
              </w:rPr>
              <w:fldChar w:fldCharType="end"/>
            </w:r>
          </w:hyperlink>
        </w:p>
        <w:p w:rsidR="000D1212" w:rsidRDefault="000D1212">
          <w:pPr>
            <w:pStyle w:val="TOC1"/>
            <w:tabs>
              <w:tab w:val="left" w:pos="440"/>
              <w:tab w:val="right" w:leader="dot" w:pos="9016"/>
            </w:tabs>
            <w:rPr>
              <w:rFonts w:asciiTheme="minorHAnsi" w:eastAsiaTheme="minorEastAsia" w:hAnsiTheme="minorHAnsi"/>
              <w:noProof/>
              <w:sz w:val="22"/>
              <w:lang w:eastAsia="en-GB"/>
            </w:rPr>
          </w:pPr>
          <w:hyperlink w:anchor="_Toc453752566" w:history="1">
            <w:r w:rsidRPr="004157CB">
              <w:rPr>
                <w:rStyle w:val="Hyperlink"/>
                <w:noProof/>
              </w:rPr>
              <w:t>9.</w:t>
            </w:r>
            <w:r>
              <w:rPr>
                <w:rFonts w:asciiTheme="minorHAnsi" w:eastAsiaTheme="minorEastAsia" w:hAnsiTheme="minorHAnsi"/>
                <w:noProof/>
                <w:sz w:val="22"/>
                <w:lang w:eastAsia="en-GB"/>
              </w:rPr>
              <w:tab/>
            </w:r>
            <w:r w:rsidRPr="004157CB">
              <w:rPr>
                <w:rStyle w:val="Hyperlink"/>
                <w:noProof/>
              </w:rPr>
              <w:t>Conclusion</w:t>
            </w:r>
            <w:r>
              <w:rPr>
                <w:noProof/>
                <w:webHidden/>
              </w:rPr>
              <w:tab/>
            </w:r>
            <w:r>
              <w:rPr>
                <w:noProof/>
                <w:webHidden/>
              </w:rPr>
              <w:fldChar w:fldCharType="begin"/>
            </w:r>
            <w:r>
              <w:rPr>
                <w:noProof/>
                <w:webHidden/>
              </w:rPr>
              <w:instrText xml:space="preserve"> PAGEREF _Toc453752566 \h </w:instrText>
            </w:r>
            <w:r>
              <w:rPr>
                <w:noProof/>
                <w:webHidden/>
              </w:rPr>
            </w:r>
            <w:r>
              <w:rPr>
                <w:noProof/>
                <w:webHidden/>
              </w:rPr>
              <w:fldChar w:fldCharType="separate"/>
            </w:r>
            <w:r>
              <w:rPr>
                <w:noProof/>
                <w:webHidden/>
              </w:rPr>
              <w:t>5</w:t>
            </w:r>
            <w:r>
              <w:rPr>
                <w:noProof/>
                <w:webHidden/>
              </w:rPr>
              <w:fldChar w:fldCharType="end"/>
            </w:r>
          </w:hyperlink>
        </w:p>
        <w:p w:rsidR="000D1212" w:rsidRDefault="000D1212">
          <w:pPr>
            <w:pStyle w:val="TOC1"/>
            <w:tabs>
              <w:tab w:val="left" w:pos="660"/>
              <w:tab w:val="right" w:leader="dot" w:pos="9016"/>
            </w:tabs>
            <w:rPr>
              <w:rFonts w:asciiTheme="minorHAnsi" w:eastAsiaTheme="minorEastAsia" w:hAnsiTheme="minorHAnsi"/>
              <w:noProof/>
              <w:sz w:val="22"/>
              <w:lang w:eastAsia="en-GB"/>
            </w:rPr>
          </w:pPr>
          <w:hyperlink w:anchor="_Toc453752567" w:history="1">
            <w:r w:rsidRPr="004157CB">
              <w:rPr>
                <w:rStyle w:val="Hyperlink"/>
                <w:noProof/>
              </w:rPr>
              <w:t>10.</w:t>
            </w:r>
            <w:r>
              <w:rPr>
                <w:rFonts w:asciiTheme="minorHAnsi" w:eastAsiaTheme="minorEastAsia" w:hAnsiTheme="minorHAnsi"/>
                <w:noProof/>
                <w:sz w:val="22"/>
                <w:lang w:eastAsia="en-GB"/>
              </w:rPr>
              <w:tab/>
            </w:r>
            <w:r w:rsidRPr="004157CB">
              <w:rPr>
                <w:rStyle w:val="Hyperlink"/>
                <w:noProof/>
              </w:rPr>
              <w:t>References</w:t>
            </w:r>
            <w:r>
              <w:rPr>
                <w:noProof/>
                <w:webHidden/>
              </w:rPr>
              <w:tab/>
            </w:r>
            <w:r>
              <w:rPr>
                <w:noProof/>
                <w:webHidden/>
              </w:rPr>
              <w:fldChar w:fldCharType="begin"/>
            </w:r>
            <w:r>
              <w:rPr>
                <w:noProof/>
                <w:webHidden/>
              </w:rPr>
              <w:instrText xml:space="preserve"> PAGEREF _Toc453752567 \h </w:instrText>
            </w:r>
            <w:r>
              <w:rPr>
                <w:noProof/>
                <w:webHidden/>
              </w:rPr>
            </w:r>
            <w:r>
              <w:rPr>
                <w:noProof/>
                <w:webHidden/>
              </w:rPr>
              <w:fldChar w:fldCharType="separate"/>
            </w:r>
            <w:r>
              <w:rPr>
                <w:noProof/>
                <w:webHidden/>
              </w:rPr>
              <w:t>5</w:t>
            </w:r>
            <w:r>
              <w:rPr>
                <w:noProof/>
                <w:webHidden/>
              </w:rPr>
              <w:fldChar w:fldCharType="end"/>
            </w:r>
          </w:hyperlink>
        </w:p>
        <w:p w:rsidR="000D1212" w:rsidRDefault="000D1212">
          <w:pPr>
            <w:pStyle w:val="TOC1"/>
            <w:tabs>
              <w:tab w:val="left" w:pos="660"/>
              <w:tab w:val="right" w:leader="dot" w:pos="9016"/>
            </w:tabs>
            <w:rPr>
              <w:rFonts w:asciiTheme="minorHAnsi" w:eastAsiaTheme="minorEastAsia" w:hAnsiTheme="minorHAnsi"/>
              <w:noProof/>
              <w:sz w:val="22"/>
              <w:lang w:eastAsia="en-GB"/>
            </w:rPr>
          </w:pPr>
          <w:hyperlink w:anchor="_Toc453752568" w:history="1">
            <w:r w:rsidRPr="004157CB">
              <w:rPr>
                <w:rStyle w:val="Hyperlink"/>
                <w:noProof/>
              </w:rPr>
              <w:t>11.</w:t>
            </w:r>
            <w:r>
              <w:rPr>
                <w:rFonts w:asciiTheme="minorHAnsi" w:eastAsiaTheme="minorEastAsia" w:hAnsiTheme="minorHAnsi"/>
                <w:noProof/>
                <w:sz w:val="22"/>
                <w:lang w:eastAsia="en-GB"/>
              </w:rPr>
              <w:tab/>
            </w:r>
            <w:r w:rsidRPr="004157CB">
              <w:rPr>
                <w:rStyle w:val="Hyperlink"/>
                <w:noProof/>
              </w:rPr>
              <w:t>Methodology</w:t>
            </w:r>
            <w:r>
              <w:rPr>
                <w:noProof/>
                <w:webHidden/>
              </w:rPr>
              <w:tab/>
            </w:r>
            <w:r>
              <w:rPr>
                <w:noProof/>
                <w:webHidden/>
              </w:rPr>
              <w:fldChar w:fldCharType="begin"/>
            </w:r>
            <w:r>
              <w:rPr>
                <w:noProof/>
                <w:webHidden/>
              </w:rPr>
              <w:instrText xml:space="preserve"> PAGEREF _Toc453752568 \h </w:instrText>
            </w:r>
            <w:r>
              <w:rPr>
                <w:noProof/>
                <w:webHidden/>
              </w:rPr>
            </w:r>
            <w:r>
              <w:rPr>
                <w:noProof/>
                <w:webHidden/>
              </w:rPr>
              <w:fldChar w:fldCharType="separate"/>
            </w:r>
            <w:r>
              <w:rPr>
                <w:noProof/>
                <w:webHidden/>
              </w:rPr>
              <w:t>6</w:t>
            </w:r>
            <w:r>
              <w:rPr>
                <w:noProof/>
                <w:webHidden/>
              </w:rPr>
              <w:fldChar w:fldCharType="end"/>
            </w:r>
          </w:hyperlink>
        </w:p>
        <w:p w:rsidR="00A2744A" w:rsidRDefault="000D1212" w:rsidP="00A2744A">
          <w:r>
            <w:fldChar w:fldCharType="end"/>
          </w:r>
        </w:p>
      </w:sdtContent>
    </w:sdt>
    <w:bookmarkStart w:id="2" w:name="_Toc453752556" w:displacedByCustomXml="prev"/>
    <w:p w:rsidR="001618BE" w:rsidRDefault="001618BE" w:rsidP="00485B5D">
      <w:pPr>
        <w:pStyle w:val="Heading1"/>
      </w:pPr>
      <w:r>
        <w:t>Introduction</w:t>
      </w:r>
      <w:bookmarkEnd w:id="2"/>
    </w:p>
    <w:p w:rsidR="001618BE" w:rsidRDefault="001618BE" w:rsidP="00A2744A">
      <w:pPr>
        <w:pStyle w:val="Comment"/>
      </w:pPr>
      <w:proofErr w:type="gramStart"/>
      <w:r>
        <w:t>Background of the project, how things have drifted from the original TOR.</w:t>
      </w:r>
      <w:proofErr w:type="gramEnd"/>
    </w:p>
    <w:p w:rsidR="00C33AC4" w:rsidRPr="00C33AC4" w:rsidRDefault="00C33AC4" w:rsidP="00C33AC4">
      <w:r>
        <w:t>Case study is based on a provisional proposal subject to change.</w:t>
      </w:r>
    </w:p>
    <w:p w:rsidR="001618BE" w:rsidRDefault="001618BE" w:rsidP="001618BE">
      <w:pPr>
        <w:pStyle w:val="Heading1"/>
      </w:pPr>
      <w:bookmarkStart w:id="3" w:name="_Toc453752557"/>
      <w:r>
        <w:t>Definitions</w:t>
      </w:r>
      <w:bookmarkEnd w:id="3"/>
    </w:p>
    <w:p w:rsidR="000D1212" w:rsidRPr="000D1212" w:rsidRDefault="000D1212" w:rsidP="001618BE">
      <w:r>
        <w:t xml:space="preserve">This report follows the </w:t>
      </w:r>
      <w:r>
        <w:rPr>
          <w:i/>
        </w:rPr>
        <w:t>Supporting Business Environment Reforms</w:t>
      </w:r>
      <w:r>
        <w:t xml:space="preserve"> definition of business environment reform:</w:t>
      </w:r>
    </w:p>
    <w:p w:rsidR="00E826B8" w:rsidRDefault="00E826B8" w:rsidP="000D1212">
      <w:pPr>
        <w:pStyle w:val="Quote"/>
      </w:pPr>
      <w:r>
        <w:t xml:space="preserve">For the purposes of this guidance the Donor Committee for Enterprise Development defines the business environment as a complex of policy, legal, institutional, and regulatory conditions that govern business activities. It is a sub-set of the investment climate and includes the administration and enforcement mechanisms established to implement government policy, as well as the institutional arrangements that influence the way key actors operate (e.g., government agencies, regulatory authorities, and </w:t>
      </w:r>
      <w:r>
        <w:lastRenderedPageBreak/>
        <w:t>business membership organisations including businesswomen associations, civil society organisations, trade unions, etc.).</w:t>
      </w:r>
    </w:p>
    <w:p w:rsidR="000D1212" w:rsidRDefault="000D1212" w:rsidP="000D121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45pt;height:286.35pt">
            <v:imagedata r:id="rId11" o:title="business environment definition"/>
          </v:shape>
        </w:pict>
      </w:r>
    </w:p>
    <w:p w:rsidR="000D1212" w:rsidRDefault="000D1212" w:rsidP="000D1212">
      <w:pPr>
        <w:pStyle w:val="Caption"/>
      </w:pPr>
      <w:r>
        <w:t>Source: DCED, 2008, p2</w:t>
      </w:r>
    </w:p>
    <w:p w:rsidR="003F17B8" w:rsidRDefault="003F17B8" w:rsidP="003F17B8">
      <w:r>
        <w:t xml:space="preserve">The definition of Women’s Economic Empowerment is adopted from the International </w:t>
      </w:r>
      <w:proofErr w:type="spellStart"/>
      <w:r>
        <w:t>Center</w:t>
      </w:r>
      <w:proofErr w:type="spellEnd"/>
      <w:r>
        <w:t xml:space="preserve"> for Research on Women (</w:t>
      </w:r>
      <w:proofErr w:type="spellStart"/>
      <w:r>
        <w:t>Golla</w:t>
      </w:r>
      <w:proofErr w:type="spellEnd"/>
      <w:r>
        <w:t>, 2011</w:t>
      </w:r>
      <w:r w:rsidR="00052A18">
        <w:t>, p</w:t>
      </w:r>
      <w:r w:rsidR="009444DA" w:rsidRPr="009444DA">
        <w:rPr>
          <w:highlight w:val="yellow"/>
        </w:rPr>
        <w:t>??</w:t>
      </w:r>
      <w:r>
        <w:t>):</w:t>
      </w:r>
    </w:p>
    <w:p w:rsidR="00315B2F" w:rsidRDefault="00315B2F" w:rsidP="00315B2F">
      <w:pPr>
        <w:pStyle w:val="Quote"/>
      </w:pPr>
      <w:r>
        <w:t>A woman is economically empowered when she has both the ability to succeed and advance economically and the power to make and act on economic decisions.</w:t>
      </w:r>
    </w:p>
    <w:p w:rsidR="00315B2F" w:rsidRDefault="00315B2F" w:rsidP="00315B2F">
      <w:pPr>
        <w:pStyle w:val="Quote"/>
        <w:numPr>
          <w:ilvl w:val="0"/>
          <w:numId w:val="43"/>
        </w:numPr>
      </w:pPr>
      <w:r>
        <w:t>To succeed and advance economically, women need the skills and resources to compete in markets, as well as fair and equal access to economic institutions.</w:t>
      </w:r>
    </w:p>
    <w:p w:rsidR="000D1212" w:rsidRDefault="00315B2F" w:rsidP="00315B2F">
      <w:pPr>
        <w:pStyle w:val="Quote"/>
        <w:numPr>
          <w:ilvl w:val="0"/>
          <w:numId w:val="43"/>
        </w:numPr>
      </w:pPr>
      <w:r>
        <w:t>To have the power and agency to benefit from economic activities, women need to have the ability to make and act on decisions and control resources and profits.</w:t>
      </w:r>
    </w:p>
    <w:p w:rsidR="006E2441" w:rsidRPr="006E2441" w:rsidRDefault="009444DA" w:rsidP="006E2441">
      <w:r>
        <w:t>Gender terminology aims to be consistent with the various definitions laid out by DFID (2007, p24, 50–51)</w:t>
      </w:r>
    </w:p>
    <w:p w:rsidR="001618BE" w:rsidRDefault="001618BE" w:rsidP="001618BE">
      <w:pPr>
        <w:pStyle w:val="Heading1"/>
      </w:pPr>
      <w:bookmarkStart w:id="4" w:name="_Toc453752558"/>
      <w:r>
        <w:t>Approaches to Gender Analysis</w:t>
      </w:r>
      <w:r w:rsidR="00233FCC">
        <w:t xml:space="preserve"> and Programming</w:t>
      </w:r>
      <w:bookmarkEnd w:id="4"/>
    </w:p>
    <w:p w:rsidR="001618BE" w:rsidRDefault="001618BE" w:rsidP="001618BE">
      <w:pPr>
        <w:pStyle w:val="Comment"/>
      </w:pPr>
      <w:r>
        <w:t>Levels at which analysis can be gendered</w:t>
      </w:r>
      <w:r w:rsidR="003C1AFB">
        <w:t>: best practice and getting to best practice</w:t>
      </w:r>
    </w:p>
    <w:p w:rsidR="00655364" w:rsidRDefault="00655364" w:rsidP="00655364">
      <w:pPr>
        <w:pStyle w:val="Heading2"/>
      </w:pPr>
      <w:r>
        <w:t>Introduction</w:t>
      </w:r>
    </w:p>
    <w:p w:rsidR="00C04E8B" w:rsidRDefault="00C04E8B" w:rsidP="00C04E8B">
      <w:r>
        <w:t xml:space="preserve">While the evidence on the effectiveness of gender-sensitive business environment reforms is still limited, the World Bank has articulated a clear and detailed model of best practice.  While this is tremendously useful, it is also important to recognise that the current state of gender analysis falls </w:t>
      </w:r>
      <w:r>
        <w:lastRenderedPageBreak/>
        <w:t xml:space="preserve">considerably short of this ideal.  </w:t>
      </w:r>
      <w:proofErr w:type="gramStart"/>
      <w:r>
        <w:t>According to the IEG’s meta-evaluation of World Bank Group projects, less than a quarter target gender.</w:t>
      </w:r>
      <w:proofErr w:type="gramEnd"/>
    </w:p>
    <w:p w:rsidR="00C04E8B" w:rsidRDefault="00C04E8B" w:rsidP="00C04E8B">
      <w:r>
        <w:rPr>
          <w:noProof/>
          <w:lang w:eastAsia="en-GB"/>
        </w:rPr>
        <w:drawing>
          <wp:inline distT="0" distB="0" distL="0" distR="0">
            <wp:extent cx="5726430" cy="3118485"/>
            <wp:effectExtent l="19050" t="0" r="7620" b="0"/>
            <wp:docPr id="5" name="Picture 5" descr="C:\Users\slack\AppData\Local\Microsoft\Windows\INetCache\Content.Word\proportion of ic projects targeting gender by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lack\AppData\Local\Microsoft\Windows\INetCache\Content.Word\proportion of ic projects targeting gender by year.png"/>
                    <pic:cNvPicPr>
                      <a:picLocks noChangeAspect="1" noChangeArrowheads="1"/>
                    </pic:cNvPicPr>
                  </pic:nvPicPr>
                  <pic:blipFill>
                    <a:blip r:embed="rId12" cstate="print"/>
                    <a:srcRect/>
                    <a:stretch>
                      <a:fillRect/>
                    </a:stretch>
                  </pic:blipFill>
                  <pic:spPr bwMode="auto">
                    <a:xfrm>
                      <a:off x="0" y="0"/>
                      <a:ext cx="5726430" cy="3118485"/>
                    </a:xfrm>
                    <a:prstGeom prst="rect">
                      <a:avLst/>
                    </a:prstGeom>
                    <a:noFill/>
                    <a:ln w="9525">
                      <a:noFill/>
                      <a:miter lim="800000"/>
                      <a:headEnd/>
                      <a:tailEnd/>
                    </a:ln>
                  </pic:spPr>
                </pic:pic>
              </a:graphicData>
            </a:graphic>
          </wp:inline>
        </w:drawing>
      </w:r>
    </w:p>
    <w:p w:rsidR="00C04E8B" w:rsidRDefault="00C04E8B" w:rsidP="00C04E8B">
      <w:pPr>
        <w:pStyle w:val="Caption"/>
      </w:pPr>
      <w:r>
        <w:t>Source: IEG, 2014, figure 1.7, p45</w:t>
      </w:r>
    </w:p>
    <w:p w:rsidR="00C04E8B" w:rsidRDefault="00C04E8B" w:rsidP="00C04E8B">
      <w:r>
        <w:t>Despite the apparent upward trend, the authors caution that a focus on the number of programmes may hide the fact that those that target gender are smaller in scale and ambition than average:</w:t>
      </w:r>
    </w:p>
    <w:p w:rsidR="00C04E8B" w:rsidRPr="00172A1F" w:rsidRDefault="00C04E8B" w:rsidP="00C04E8B">
      <w:pPr>
        <w:pStyle w:val="Quote"/>
      </w:pPr>
      <w:r w:rsidRPr="00172A1F">
        <w:t>A close analysis of projects targeting gender reveals that many are small in size and mostly focused on capacity-building activities or on filling an information gap relative to gender-based barriers in the business enabling environment.</w:t>
      </w:r>
      <w:r>
        <w:rPr>
          <w:rStyle w:val="FootnoteReference"/>
        </w:rPr>
        <w:footnoteReference w:id="2"/>
      </w:r>
    </w:p>
    <w:p w:rsidR="00C04E8B" w:rsidRDefault="00C04E8B" w:rsidP="00C04E8B">
      <w:r>
        <w:t>Consequently, it is necessary to understand not only best practice, but the different levels of ambition that can be brought to business environment reform projects.  In some cases an incremental approach will be necessary in which the short-term goal may fall short of best practice, but gradually introduce a progressively gendered approach over time.  For this reason, we divide project methodology according to the extent to which gender-sensitive analysis is used:</w:t>
      </w:r>
    </w:p>
    <w:tbl>
      <w:tblPr>
        <w:tblStyle w:val="DarkList-Accent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113" w:type="dxa"/>
          <w:bottom w:w="113" w:type="dxa"/>
        </w:tblCellMar>
        <w:tblLook w:val="0680"/>
      </w:tblPr>
      <w:tblGrid>
        <w:gridCol w:w="1406"/>
        <w:gridCol w:w="3097"/>
        <w:gridCol w:w="4739"/>
      </w:tblGrid>
      <w:tr w:rsidR="002942B3" w:rsidRPr="00D612F6" w:rsidTr="002942B3">
        <w:trPr>
          <w:cantSplit/>
          <w:tblHeader/>
        </w:trPr>
        <w:tc>
          <w:tcPr>
            <w:cnfStyle w:val="001000000000"/>
            <w:tcW w:w="4503" w:type="dxa"/>
            <w:gridSpan w:val="2"/>
          </w:tcPr>
          <w:p w:rsidR="002942B3" w:rsidRPr="002942B3" w:rsidRDefault="002942B3" w:rsidP="009F7987">
            <w:pPr>
              <w:jc w:val="center"/>
              <w:rPr>
                <w:b/>
              </w:rPr>
            </w:pPr>
            <w:r w:rsidRPr="002942B3">
              <w:rPr>
                <w:b/>
              </w:rPr>
              <w:t>Level of Ambition</w:t>
            </w:r>
          </w:p>
        </w:tc>
        <w:tc>
          <w:tcPr>
            <w:tcW w:w="4739" w:type="dxa"/>
            <w:shd w:val="clear" w:color="auto" w:fill="2E74B5" w:themeFill="accent1" w:themeFillShade="BF"/>
          </w:tcPr>
          <w:p w:rsidR="002942B3" w:rsidRPr="002942B3" w:rsidRDefault="002942B3" w:rsidP="009F7987">
            <w:pPr>
              <w:jc w:val="center"/>
              <w:cnfStyle w:val="000000000000"/>
              <w:rPr>
                <w:b/>
              </w:rPr>
            </w:pPr>
            <w:r w:rsidRPr="002942B3">
              <w:rPr>
                <w:b/>
              </w:rPr>
              <w:t>Examples</w:t>
            </w:r>
          </w:p>
        </w:tc>
      </w:tr>
      <w:tr w:rsidR="002942B3" w:rsidRPr="00D612F6" w:rsidTr="002942B3">
        <w:trPr>
          <w:cantSplit/>
          <w:tblHeader/>
        </w:trPr>
        <w:tc>
          <w:tcPr>
            <w:cnfStyle w:val="001000000000"/>
            <w:tcW w:w="1406" w:type="dxa"/>
          </w:tcPr>
          <w:p w:rsidR="002942B3" w:rsidRPr="002942B3" w:rsidRDefault="002942B3" w:rsidP="009F7987">
            <w:pPr>
              <w:rPr>
                <w:b/>
              </w:rPr>
            </w:pPr>
            <w:r w:rsidRPr="002942B3">
              <w:rPr>
                <w:b/>
              </w:rPr>
              <w:t>Baseline</w:t>
            </w:r>
          </w:p>
        </w:tc>
        <w:tc>
          <w:tcPr>
            <w:tcW w:w="3097" w:type="dxa"/>
          </w:tcPr>
          <w:p w:rsidR="002942B3" w:rsidRDefault="002942B3" w:rsidP="009F7987">
            <w:pPr>
              <w:cnfStyle w:val="000000000000"/>
            </w:pPr>
            <w:r>
              <w:t>Transparent communication of benefits for women, requiring gender-disaggregated results reporting</w:t>
            </w:r>
          </w:p>
        </w:tc>
        <w:tc>
          <w:tcPr>
            <w:tcW w:w="4739" w:type="dxa"/>
          </w:tcPr>
          <w:p w:rsidR="002942B3" w:rsidRDefault="002942B3" w:rsidP="009F7987">
            <w:pPr>
              <w:cnfStyle w:val="000000000000"/>
            </w:pPr>
            <w:r>
              <w:t>Measuring and reporting the disproportionate benefit to formal-sector female employment of SEZ creation and expansion.</w:t>
            </w:r>
          </w:p>
          <w:p w:rsidR="002942B3" w:rsidRDefault="002942B3" w:rsidP="009F7987">
            <w:pPr>
              <w:cnfStyle w:val="000000000000"/>
            </w:pPr>
            <w:r>
              <w:t>Measuring and reporting the relative benefits to women of programming that has not been based on any gender analysis to enable future study of the extent to which different approaches alter outcomes for women.</w:t>
            </w:r>
          </w:p>
        </w:tc>
      </w:tr>
      <w:tr w:rsidR="002942B3" w:rsidRPr="00D612F6" w:rsidTr="002942B3">
        <w:trPr>
          <w:cantSplit/>
          <w:tblHeader/>
        </w:trPr>
        <w:tc>
          <w:tcPr>
            <w:cnfStyle w:val="001000000000"/>
            <w:tcW w:w="1406" w:type="dxa"/>
          </w:tcPr>
          <w:p w:rsidR="002942B3" w:rsidRPr="002942B3" w:rsidRDefault="002942B3" w:rsidP="009F7987">
            <w:pPr>
              <w:rPr>
                <w:b/>
              </w:rPr>
            </w:pPr>
            <w:r w:rsidRPr="002942B3">
              <w:rPr>
                <w:b/>
              </w:rPr>
              <w:lastRenderedPageBreak/>
              <w:t>Intermediate</w:t>
            </w:r>
          </w:p>
        </w:tc>
        <w:tc>
          <w:tcPr>
            <w:tcW w:w="3097" w:type="dxa"/>
          </w:tcPr>
          <w:p w:rsidR="002942B3" w:rsidRDefault="002942B3" w:rsidP="009F7987">
            <w:pPr>
              <w:cnfStyle w:val="000000000000"/>
            </w:pPr>
            <w:r>
              <w:t>Incorporating gender analysis into programme design</w:t>
            </w:r>
          </w:p>
        </w:tc>
        <w:tc>
          <w:tcPr>
            <w:tcW w:w="4739" w:type="dxa"/>
          </w:tcPr>
          <w:p w:rsidR="002942B3" w:rsidRDefault="002942B3" w:rsidP="009F7987">
            <w:pPr>
              <w:cnfStyle w:val="000000000000"/>
            </w:pPr>
            <w:r>
              <w:t>Legal reviews to incorporate gender analysis, e.g. labour law that disproportionately affects women.</w:t>
            </w:r>
          </w:p>
          <w:p w:rsidR="002942B3" w:rsidRDefault="002942B3" w:rsidP="009F7987">
            <w:pPr>
              <w:cnfStyle w:val="000000000000"/>
            </w:pPr>
            <w:r>
              <w:t>Export sector diversification measures to incorporate labour, investor and entrepreneur gender analysis to ensure that overall the programme meets gender goals.</w:t>
            </w:r>
          </w:p>
        </w:tc>
      </w:tr>
      <w:tr w:rsidR="002942B3" w:rsidRPr="00D612F6" w:rsidTr="002942B3">
        <w:trPr>
          <w:cantSplit/>
          <w:tblHeader/>
        </w:trPr>
        <w:tc>
          <w:tcPr>
            <w:cnfStyle w:val="001000000000"/>
            <w:tcW w:w="1406" w:type="dxa"/>
          </w:tcPr>
          <w:p w:rsidR="002942B3" w:rsidRPr="002942B3" w:rsidRDefault="002942B3" w:rsidP="009F7987">
            <w:pPr>
              <w:rPr>
                <w:b/>
              </w:rPr>
            </w:pPr>
            <w:r w:rsidRPr="002942B3">
              <w:rPr>
                <w:b/>
              </w:rPr>
              <w:t>Best practice</w:t>
            </w:r>
          </w:p>
        </w:tc>
        <w:tc>
          <w:tcPr>
            <w:tcW w:w="3097" w:type="dxa"/>
          </w:tcPr>
          <w:p w:rsidR="002942B3" w:rsidRDefault="002942B3" w:rsidP="009F7987">
            <w:pPr>
              <w:cnfStyle w:val="000000000000"/>
            </w:pPr>
            <w:r>
              <w:t>Adding programme components that stem fundamentally from gender-aware analysis of the economy and society</w:t>
            </w:r>
          </w:p>
        </w:tc>
        <w:tc>
          <w:tcPr>
            <w:tcW w:w="4739" w:type="dxa"/>
          </w:tcPr>
          <w:p w:rsidR="002942B3" w:rsidRDefault="002942B3" w:rsidP="009F7987">
            <w:pPr>
              <w:cnfStyle w:val="000000000000"/>
            </w:pPr>
            <w:r>
              <w:t>Interventions such as childcare subsidy and insurance for maternity costs and leave, which challenge and expand perception of what is considered business environment reform</w:t>
            </w:r>
          </w:p>
        </w:tc>
      </w:tr>
    </w:tbl>
    <w:p w:rsidR="002942B3" w:rsidRDefault="002942B3" w:rsidP="002942B3">
      <w:pPr>
        <w:pStyle w:val="Caption"/>
      </w:pPr>
      <w:r>
        <w:t>Source: BERF analysis based on literature review</w:t>
      </w:r>
    </w:p>
    <w:p w:rsidR="001618BE" w:rsidRPr="000660BF" w:rsidRDefault="00655364" w:rsidP="00655364">
      <w:pPr>
        <w:pStyle w:val="Heading2"/>
      </w:pPr>
      <w:r>
        <w:t>Levels of Ambition in Gender Programming</w:t>
      </w:r>
    </w:p>
    <w:p w:rsidR="001618BE" w:rsidRDefault="00655364" w:rsidP="00655364">
      <w:pPr>
        <w:pStyle w:val="Heading3"/>
      </w:pPr>
      <w:r>
        <w:t>Baseline</w:t>
      </w:r>
    </w:p>
    <w:p w:rsidR="00655364" w:rsidRDefault="00655364" w:rsidP="00655364">
      <w:pPr>
        <w:pStyle w:val="Comment"/>
      </w:pPr>
      <w:proofErr w:type="gramStart"/>
      <w:r>
        <w:t>gender</w:t>
      </w:r>
      <w:proofErr w:type="gramEnd"/>
      <w:r>
        <w:t xml:space="preserve"> disaggregation of most/all projects, and why that is important given state of evidence </w:t>
      </w:r>
    </w:p>
    <w:p w:rsidR="00655364" w:rsidRDefault="00655364" w:rsidP="00655364">
      <w:pPr>
        <w:pStyle w:val="Comment"/>
      </w:pPr>
      <w:proofErr w:type="gramStart"/>
      <w:r>
        <w:t>Lack of evidence on gender-sensitive business environment reform, problems with World Bank evaluation.</w:t>
      </w:r>
      <w:proofErr w:type="gramEnd"/>
      <w:r>
        <w:t xml:space="preserve">  </w:t>
      </w:r>
      <w:proofErr w:type="gramStart"/>
      <w:r>
        <w:t>Usefulness of gender disaggregation regardless of goals.</w:t>
      </w:r>
      <w:proofErr w:type="gramEnd"/>
    </w:p>
    <w:p w:rsidR="007A75C8" w:rsidRPr="007A75C8" w:rsidRDefault="007A75C8" w:rsidP="007A75C8">
      <w:r>
        <w:t xml:space="preserve">Given the lack of evidence that gender-sensitive programming has more beneficial effects for women than previous approaches, gender-disaggregated </w:t>
      </w:r>
      <w:proofErr w:type="gramStart"/>
      <w:r>
        <w:t>results reporting is</w:t>
      </w:r>
      <w:proofErr w:type="gramEnd"/>
      <w:r>
        <w:t xml:space="preserve"> highly desirable for all projects regardless of whether results are expected to have a desirable gender balance.</w:t>
      </w:r>
    </w:p>
    <w:p w:rsidR="00655364" w:rsidRDefault="00655364" w:rsidP="00655364">
      <w:pPr>
        <w:pStyle w:val="Heading3"/>
      </w:pPr>
      <w:r>
        <w:t>Intermediate</w:t>
      </w:r>
    </w:p>
    <w:p w:rsidR="00655364" w:rsidRDefault="00655364" w:rsidP="00655364">
      <w:pPr>
        <w:pStyle w:val="Comment"/>
      </w:pPr>
      <w:r>
        <w:t>Earlier incorporation: design phase.  Limitations: assumption that activity choice is implicitly gendered.</w:t>
      </w:r>
      <w:r w:rsidR="00AC10A0">
        <w:t xml:space="preserve">  Why it’s better, why it’s not so great</w:t>
      </w:r>
    </w:p>
    <w:p w:rsidR="00655364" w:rsidRDefault="00655364" w:rsidP="00655364">
      <w:r>
        <w:t xml:space="preserve">In an important sense, what has traditionally been considered a “business environment reform activity” has been defined by men’s experiences as entrepreneurs and workers, and the constraints to doing business that they have </w:t>
      </w:r>
      <w:proofErr w:type="gramStart"/>
      <w:r>
        <w:t>encountered.</w:t>
      </w:r>
      <w:proofErr w:type="gramEnd"/>
      <w:r>
        <w:t xml:space="preserve">  Once women’s experiences are properly articulated and understood, the focus shifts — and even the variety of projects that are considered to be “business environment reform activities” expands.</w:t>
      </w:r>
    </w:p>
    <w:p w:rsidR="00BA452F" w:rsidRDefault="00D914CF" w:rsidP="00655364">
      <w:pPr>
        <w:pStyle w:val="Heading3"/>
      </w:pPr>
      <w:bookmarkStart w:id="5" w:name="_Toc453752559"/>
      <w:r>
        <w:t>Best Practice</w:t>
      </w:r>
      <w:bookmarkEnd w:id="5"/>
    </w:p>
    <w:p w:rsidR="00744425" w:rsidRDefault="00D914CF" w:rsidP="00D914CF">
      <w:r>
        <w:t xml:space="preserve">The main authority on best practice in gender-sensitive business environment reform is </w:t>
      </w:r>
      <w:r>
        <w:rPr>
          <w:i/>
        </w:rPr>
        <w:t>Gender Dimensions of Business Environment Reform</w:t>
      </w:r>
      <w:r>
        <w:t xml:space="preserve"> </w:t>
      </w:r>
      <w:r w:rsidR="007851CD">
        <w:t xml:space="preserve">(2010) </w:t>
      </w:r>
      <w:r>
        <w:t xml:space="preserve">by </w:t>
      </w:r>
      <w:proofErr w:type="spellStart"/>
      <w:r>
        <w:t>Simani</w:t>
      </w:r>
      <w:proofErr w:type="spellEnd"/>
      <w:r>
        <w:t xml:space="preserve"> et al</w:t>
      </w:r>
      <w:r w:rsidR="0046174A">
        <w:t>, published by the World Bank</w:t>
      </w:r>
      <w:r>
        <w:t>.</w:t>
      </w:r>
      <w:r w:rsidR="007851CD">
        <w:t xml:space="preserve"> </w:t>
      </w:r>
      <w:r w:rsidR="00744425">
        <w:t>This book contains</w:t>
      </w:r>
      <w:r w:rsidR="003A0D16">
        <w:t>:</w:t>
      </w:r>
    </w:p>
    <w:p w:rsidR="00744425" w:rsidRDefault="00A75E07" w:rsidP="00744425">
      <w:pPr>
        <w:pStyle w:val="ListParagraph"/>
        <w:numPr>
          <w:ilvl w:val="0"/>
          <w:numId w:val="40"/>
        </w:numPr>
      </w:pPr>
      <w:r>
        <w:t>a summary of the economic rationale for gender-sensitive business environment reform</w:t>
      </w:r>
      <w:r w:rsidR="00744425">
        <w:t>,</w:t>
      </w:r>
    </w:p>
    <w:p w:rsidR="00744425" w:rsidRDefault="00A75E07" w:rsidP="00744425">
      <w:pPr>
        <w:pStyle w:val="ListParagraph"/>
        <w:numPr>
          <w:ilvl w:val="0"/>
          <w:numId w:val="40"/>
        </w:numPr>
      </w:pPr>
      <w:r>
        <w:t xml:space="preserve">a “core module” describing the general methodology for all programmes, </w:t>
      </w:r>
      <w:r w:rsidR="00744425">
        <w:t>and</w:t>
      </w:r>
    </w:p>
    <w:p w:rsidR="00744425" w:rsidRDefault="00A75E07" w:rsidP="00744425">
      <w:pPr>
        <w:pStyle w:val="ListParagraph"/>
        <w:numPr>
          <w:ilvl w:val="0"/>
          <w:numId w:val="40"/>
        </w:numPr>
      </w:pPr>
      <w:proofErr w:type="gramStart"/>
      <w:r>
        <w:t>additional</w:t>
      </w:r>
      <w:proofErr w:type="gramEnd"/>
      <w:r>
        <w:t xml:space="preserve"> guidance on eight specific sectors of business environment reform (such as public–private dialogue, busines</w:t>
      </w:r>
      <w:r w:rsidR="00744425">
        <w:t>s entry and operations, etc.).</w:t>
      </w:r>
    </w:p>
    <w:p w:rsidR="00D914CF" w:rsidRDefault="00A75E07" w:rsidP="00744425">
      <w:r>
        <w:t>Each section of guidance covers all aspects of programme implementation, from diagnostics and programme design</w:t>
      </w:r>
      <w:r w:rsidR="003A0D16">
        <w:t xml:space="preserve"> through to implementation, </w:t>
      </w:r>
      <w:r>
        <w:t>monitoring and evaluation.</w:t>
      </w:r>
    </w:p>
    <w:p w:rsidR="00A75E07" w:rsidRDefault="00A75E07" w:rsidP="00D914CF">
      <w:r>
        <w:t>The book proposes a diagnostics-driven approach, based on a comprehensive analysis of the social and economic role of women in the local context, and tends to downplay rules of thumb or learning from different</w:t>
      </w:r>
      <w:r w:rsidR="007910EA">
        <w:t xml:space="preserve"> countries</w:t>
      </w:r>
      <w:r>
        <w:t>.</w:t>
      </w:r>
      <w:r w:rsidR="007851CD">
        <w:t xml:space="preserve"> </w:t>
      </w:r>
      <w:r w:rsidR="007910EA">
        <w:t>This reflects the current state of evidence (see next section).</w:t>
      </w:r>
      <w:r w:rsidR="007851CD">
        <w:t xml:space="preserve"> </w:t>
      </w:r>
      <w:r>
        <w:t>However, the diagnostic guidance is comprehensive, including recommended data sources, checklists of key questions and sample questionnaires</w:t>
      </w:r>
      <w:r w:rsidR="00B624C7">
        <w:t xml:space="preserve"> for each sector.</w:t>
      </w:r>
      <w:r w:rsidR="007851CD">
        <w:t xml:space="preserve"> </w:t>
      </w:r>
      <w:r w:rsidR="00B624C7">
        <w:t>Diagnostic steps are also prioritised to facilitate light-touch analysis where time or resources are tight.</w:t>
      </w:r>
    </w:p>
    <w:p w:rsidR="006D7D5E" w:rsidRPr="006D7D5E" w:rsidRDefault="006D7D5E" w:rsidP="006D7D5E">
      <w:pPr>
        <w:jc w:val="center"/>
        <w:rPr>
          <w:i/>
        </w:rPr>
      </w:pPr>
      <w:r>
        <w:lastRenderedPageBreak/>
        <w:t xml:space="preserve">Summary of core module in </w:t>
      </w:r>
      <w:r>
        <w:rPr>
          <w:i/>
        </w:rPr>
        <w:t>Gender Dimensions of Business Environment Reform</w:t>
      </w:r>
      <w:r>
        <w:rPr>
          <w:rStyle w:val="FootnoteReference"/>
          <w:i/>
        </w:rPr>
        <w:footnoteReference w:id="3"/>
      </w:r>
    </w:p>
    <w:tbl>
      <w:tblPr>
        <w:tblStyle w:val="DarkList-Accent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113" w:type="dxa"/>
          <w:bottom w:w="113" w:type="dxa"/>
        </w:tblCellMar>
        <w:tblLook w:val="0200"/>
      </w:tblPr>
      <w:tblGrid>
        <w:gridCol w:w="1951"/>
        <w:gridCol w:w="7291"/>
      </w:tblGrid>
      <w:tr w:rsidR="00F50FFC" w:rsidTr="00D612F6">
        <w:tc>
          <w:tcPr>
            <w:cnfStyle w:val="000010000000"/>
            <w:tcW w:w="1951" w:type="dxa"/>
            <w:tcBorders>
              <w:top w:val="none" w:sz="0" w:space="0" w:color="auto"/>
              <w:left w:val="none" w:sz="0" w:space="0" w:color="auto"/>
              <w:bottom w:val="none" w:sz="0" w:space="0" w:color="auto"/>
              <w:right w:val="none" w:sz="0" w:space="0" w:color="auto"/>
            </w:tcBorders>
            <w:vAlign w:val="center"/>
          </w:tcPr>
          <w:p w:rsidR="00F50FFC" w:rsidRPr="00D612F6" w:rsidRDefault="00F50FFC" w:rsidP="00D612F6">
            <w:pPr>
              <w:jc w:val="center"/>
              <w:rPr>
                <w:b/>
              </w:rPr>
            </w:pPr>
            <w:r w:rsidRPr="00D612F6">
              <w:rPr>
                <w:b/>
              </w:rPr>
              <w:t>Core Diagnostics</w:t>
            </w:r>
          </w:p>
        </w:tc>
        <w:tc>
          <w:tcPr>
            <w:tcW w:w="7291" w:type="dxa"/>
          </w:tcPr>
          <w:p w:rsidR="00F50FFC" w:rsidRPr="00D612F6" w:rsidRDefault="00F50FFC" w:rsidP="00D612F6">
            <w:pPr>
              <w:pStyle w:val="ListParagraph"/>
              <w:numPr>
                <w:ilvl w:val="0"/>
                <w:numId w:val="42"/>
              </w:numPr>
              <w:ind w:left="318" w:hanging="284"/>
              <w:jc w:val="left"/>
              <w:cnfStyle w:val="000000000000"/>
            </w:pPr>
            <w:r w:rsidRPr="00D612F6">
              <w:t>Understand the roles of men and women in the economy</w:t>
            </w:r>
          </w:p>
          <w:p w:rsidR="00F50FFC" w:rsidRPr="00D612F6" w:rsidRDefault="00F50FFC" w:rsidP="00D612F6">
            <w:pPr>
              <w:pStyle w:val="ListParagraph"/>
              <w:numPr>
                <w:ilvl w:val="0"/>
                <w:numId w:val="42"/>
              </w:numPr>
              <w:ind w:left="318" w:hanging="284"/>
              <w:jc w:val="left"/>
              <w:cnfStyle w:val="000000000000"/>
            </w:pPr>
            <w:r w:rsidRPr="00D612F6">
              <w:t>View investment climate reform in the broader social and economic context</w:t>
            </w:r>
          </w:p>
          <w:p w:rsidR="00F50FFC" w:rsidRPr="00D612F6" w:rsidRDefault="00F50FFC" w:rsidP="00D612F6">
            <w:pPr>
              <w:pStyle w:val="ListParagraph"/>
              <w:numPr>
                <w:ilvl w:val="0"/>
                <w:numId w:val="42"/>
              </w:numPr>
              <w:ind w:left="318" w:hanging="284"/>
              <w:jc w:val="left"/>
              <w:cnfStyle w:val="000000000000"/>
            </w:pPr>
            <w:r w:rsidRPr="00D612F6">
              <w:t>Analyze the legal status of men and women</w:t>
            </w:r>
          </w:p>
          <w:p w:rsidR="00F50FFC" w:rsidRPr="00D612F6" w:rsidRDefault="00F50FFC" w:rsidP="00D612F6">
            <w:pPr>
              <w:pStyle w:val="ListParagraph"/>
              <w:numPr>
                <w:ilvl w:val="0"/>
                <w:numId w:val="42"/>
              </w:numPr>
              <w:ind w:left="318" w:hanging="284"/>
              <w:jc w:val="left"/>
              <w:cnfStyle w:val="000000000000"/>
            </w:pPr>
            <w:r w:rsidRPr="00D612F6">
              <w:t>Identify laws, regulations, procedures and business obstacles that are perceived differently by men and women</w:t>
            </w:r>
          </w:p>
          <w:p w:rsidR="00F50FFC" w:rsidRPr="00D612F6" w:rsidRDefault="00F50FFC" w:rsidP="00D612F6">
            <w:pPr>
              <w:pStyle w:val="ListParagraph"/>
              <w:numPr>
                <w:ilvl w:val="0"/>
                <w:numId w:val="42"/>
              </w:numPr>
              <w:ind w:left="318" w:hanging="284"/>
              <w:jc w:val="left"/>
              <w:cnfStyle w:val="000000000000"/>
            </w:pPr>
            <w:r w:rsidRPr="00D612F6">
              <w:t>Ensure women are represented in consultations</w:t>
            </w:r>
          </w:p>
        </w:tc>
      </w:tr>
      <w:tr w:rsidR="00F50FFC" w:rsidTr="00D612F6">
        <w:tc>
          <w:tcPr>
            <w:cnfStyle w:val="000010000000"/>
            <w:tcW w:w="1951" w:type="dxa"/>
            <w:tcBorders>
              <w:left w:val="none" w:sz="0" w:space="0" w:color="auto"/>
              <w:bottom w:val="none" w:sz="0" w:space="0" w:color="auto"/>
              <w:right w:val="none" w:sz="0" w:space="0" w:color="auto"/>
            </w:tcBorders>
            <w:vAlign w:val="center"/>
          </w:tcPr>
          <w:p w:rsidR="00F50FFC" w:rsidRPr="00D612F6" w:rsidRDefault="00F50FFC" w:rsidP="00D612F6">
            <w:pPr>
              <w:jc w:val="center"/>
              <w:rPr>
                <w:b/>
              </w:rPr>
            </w:pPr>
            <w:r w:rsidRPr="00D612F6">
              <w:rPr>
                <w:b/>
              </w:rPr>
              <w:t>Solution Design</w:t>
            </w:r>
          </w:p>
        </w:tc>
        <w:tc>
          <w:tcPr>
            <w:tcW w:w="7291" w:type="dxa"/>
          </w:tcPr>
          <w:p w:rsidR="00F50FFC" w:rsidRPr="00D612F6" w:rsidRDefault="00F50FFC" w:rsidP="00D612F6">
            <w:pPr>
              <w:pStyle w:val="ListParagraph"/>
              <w:numPr>
                <w:ilvl w:val="0"/>
                <w:numId w:val="42"/>
              </w:numPr>
              <w:ind w:left="318" w:hanging="284"/>
              <w:jc w:val="left"/>
              <w:cnfStyle w:val="000000000000"/>
            </w:pPr>
            <w:r w:rsidRPr="00D612F6">
              <w:t>Test political and cultural acceptability</w:t>
            </w:r>
          </w:p>
          <w:p w:rsidR="00F50FFC" w:rsidRPr="00D612F6" w:rsidRDefault="00F50FFC" w:rsidP="00D612F6">
            <w:pPr>
              <w:pStyle w:val="ListParagraph"/>
              <w:numPr>
                <w:ilvl w:val="0"/>
                <w:numId w:val="42"/>
              </w:numPr>
              <w:ind w:left="318" w:hanging="284"/>
              <w:jc w:val="left"/>
              <w:cnfStyle w:val="000000000000"/>
            </w:pPr>
            <w:r w:rsidRPr="00D612F6">
              <w:t>Involve women in developing solutions</w:t>
            </w:r>
          </w:p>
          <w:p w:rsidR="00F50FFC" w:rsidRPr="00D612F6" w:rsidRDefault="00F50FFC" w:rsidP="00D612F6">
            <w:pPr>
              <w:pStyle w:val="ListParagraph"/>
              <w:numPr>
                <w:ilvl w:val="0"/>
                <w:numId w:val="42"/>
              </w:numPr>
              <w:ind w:left="318" w:hanging="284"/>
              <w:jc w:val="left"/>
              <w:cnfStyle w:val="000000000000"/>
            </w:pPr>
            <w:r w:rsidRPr="00D612F6">
              <w:t>Link with existing government strategies</w:t>
            </w:r>
          </w:p>
          <w:p w:rsidR="00F50FFC" w:rsidRPr="00D612F6" w:rsidRDefault="00F50FFC" w:rsidP="00D612F6">
            <w:pPr>
              <w:pStyle w:val="ListParagraph"/>
              <w:numPr>
                <w:ilvl w:val="0"/>
                <w:numId w:val="42"/>
              </w:numPr>
              <w:ind w:left="318" w:hanging="284"/>
              <w:jc w:val="left"/>
              <w:cnfStyle w:val="000000000000"/>
            </w:pPr>
            <w:r w:rsidRPr="00D612F6">
              <w:t xml:space="preserve">Draw on in-country </w:t>
            </w:r>
            <w:r w:rsidR="00D612F6" w:rsidRPr="00D612F6">
              <w:t>expertise</w:t>
            </w:r>
          </w:p>
        </w:tc>
      </w:tr>
      <w:tr w:rsidR="00F50FFC" w:rsidTr="00D612F6">
        <w:tc>
          <w:tcPr>
            <w:cnfStyle w:val="000010000000"/>
            <w:tcW w:w="1951" w:type="dxa"/>
            <w:tcBorders>
              <w:left w:val="none" w:sz="0" w:space="0" w:color="auto"/>
              <w:bottom w:val="none" w:sz="0" w:space="0" w:color="auto"/>
              <w:right w:val="none" w:sz="0" w:space="0" w:color="auto"/>
            </w:tcBorders>
            <w:vAlign w:val="center"/>
          </w:tcPr>
          <w:p w:rsidR="00F50FFC" w:rsidRPr="00D612F6" w:rsidRDefault="00F50FFC" w:rsidP="00D612F6">
            <w:pPr>
              <w:jc w:val="center"/>
              <w:rPr>
                <w:b/>
              </w:rPr>
            </w:pPr>
            <w:r w:rsidRPr="00D612F6">
              <w:rPr>
                <w:b/>
              </w:rPr>
              <w:t>Implementation and M&amp;E</w:t>
            </w:r>
          </w:p>
        </w:tc>
        <w:tc>
          <w:tcPr>
            <w:tcW w:w="7291" w:type="dxa"/>
          </w:tcPr>
          <w:p w:rsidR="00F50FFC" w:rsidRPr="00D612F6" w:rsidRDefault="00F50FFC" w:rsidP="00D612F6">
            <w:pPr>
              <w:pStyle w:val="ListParagraph"/>
              <w:numPr>
                <w:ilvl w:val="0"/>
                <w:numId w:val="42"/>
              </w:numPr>
              <w:ind w:left="318" w:hanging="284"/>
              <w:jc w:val="left"/>
              <w:cnfStyle w:val="000000000000"/>
            </w:pPr>
            <w:r w:rsidRPr="00D612F6">
              <w:t>Establish baselines</w:t>
            </w:r>
          </w:p>
          <w:p w:rsidR="00F50FFC" w:rsidRPr="00D612F6" w:rsidRDefault="00F50FFC" w:rsidP="00D612F6">
            <w:pPr>
              <w:pStyle w:val="ListParagraph"/>
              <w:numPr>
                <w:ilvl w:val="0"/>
                <w:numId w:val="42"/>
              </w:numPr>
              <w:ind w:left="318" w:hanging="284"/>
              <w:jc w:val="left"/>
              <w:cnfStyle w:val="000000000000"/>
            </w:pPr>
            <w:r w:rsidRPr="00D612F6">
              <w:t>Integrate gender-focused indicators into M&amp;E systems</w:t>
            </w:r>
          </w:p>
        </w:tc>
      </w:tr>
    </w:tbl>
    <w:p w:rsidR="00266DEA" w:rsidRDefault="00266DEA" w:rsidP="00266DEA">
      <w:pPr>
        <w:pStyle w:val="Comment"/>
      </w:pPr>
      <w:r>
        <w:t>Sources of data for gender diagnostics</w:t>
      </w:r>
    </w:p>
    <w:p w:rsidR="001605D3" w:rsidRDefault="006D7D5E" w:rsidP="001605D3">
      <w:r>
        <w:t>The book</w:t>
      </w:r>
      <w:r w:rsidR="001605D3">
        <w:t xml:space="preserve"> complements </w:t>
      </w:r>
      <w:r w:rsidR="001605D3">
        <w:rPr>
          <w:i/>
        </w:rPr>
        <w:t>Supporting Business Environment Reforms</w:t>
      </w:r>
      <w:r w:rsidR="001605D3">
        <w:t xml:space="preserve"> by the DCED (2008), which provides the standard methodological framework for implementing business environment reform projects, but lacks </w:t>
      </w:r>
      <w:r w:rsidR="00F64FA9">
        <w:t xml:space="preserve">adequate </w:t>
      </w:r>
      <w:r w:rsidR="001605D3">
        <w:t>guidance on gender considerations.</w:t>
      </w:r>
      <w:r w:rsidR="007851CD">
        <w:t xml:space="preserve"> </w:t>
      </w:r>
      <w:r w:rsidR="001605D3">
        <w:t>The DCED is in the process of writing a gender annex to their 2008 guidance, which should be available</w:t>
      </w:r>
      <w:r w:rsidR="002E3596">
        <w:t xml:space="preserve"> in late 2016</w:t>
      </w:r>
      <w:r w:rsidR="001605D3">
        <w:t>.</w:t>
      </w:r>
    </w:p>
    <w:p w:rsidR="00655364" w:rsidRDefault="001C5480" w:rsidP="001C5480">
      <w:pPr>
        <w:pStyle w:val="Heading2"/>
      </w:pPr>
      <w:r>
        <w:t>Addressing versus bypassing barriers</w:t>
      </w:r>
    </w:p>
    <w:p w:rsidR="00655364" w:rsidRDefault="00655364" w:rsidP="00655364">
      <w:pPr>
        <w:pStyle w:val="Comment"/>
      </w:pPr>
      <w:r>
        <w:t xml:space="preserve">Job creation (SEZs) </w:t>
      </w:r>
      <w:proofErr w:type="spellStart"/>
      <w:r>
        <w:t>vs</w:t>
      </w:r>
      <w:proofErr w:type="spellEnd"/>
      <w:r>
        <w:t xml:space="preserve"> removing barriers to female employment</w:t>
      </w:r>
    </w:p>
    <w:p w:rsidR="00C338F4" w:rsidRPr="00C338F4" w:rsidRDefault="00C338F4" w:rsidP="00C338F4">
      <w:proofErr w:type="gramStart"/>
      <w:r>
        <w:t>EIG distinction on p48 (table).</w:t>
      </w:r>
      <w:proofErr w:type="gramEnd"/>
    </w:p>
    <w:p w:rsidR="009444DA" w:rsidRPr="009444DA" w:rsidRDefault="00414586" w:rsidP="00414586">
      <w:pPr>
        <w:pStyle w:val="Heading2"/>
      </w:pPr>
      <w:r>
        <w:t>Communicating about gender</w:t>
      </w:r>
    </w:p>
    <w:p w:rsidR="00655364" w:rsidRDefault="00655364" w:rsidP="00655364">
      <w:pPr>
        <w:pStyle w:val="Comment"/>
      </w:pPr>
      <w:r>
        <w:t>Profile of gender in communications</w:t>
      </w:r>
    </w:p>
    <w:p w:rsidR="00414586" w:rsidRDefault="00414586" w:rsidP="00414586">
      <w:r>
        <w:t>EIG p46: “politically unpalatable affirmative action”</w:t>
      </w:r>
    </w:p>
    <w:p w:rsidR="00D914CF" w:rsidRPr="00D914CF" w:rsidRDefault="00D914CF" w:rsidP="00D914CF">
      <w:pPr>
        <w:pStyle w:val="Heading1"/>
      </w:pPr>
      <w:bookmarkStart w:id="6" w:name="_Toc453752560"/>
      <w:r>
        <w:t>Summary of Evidence</w:t>
      </w:r>
      <w:bookmarkEnd w:id="6"/>
    </w:p>
    <w:p w:rsidR="00972517" w:rsidRDefault="009D3AD0" w:rsidP="00D914CF">
      <w:r>
        <w:t>Evaluation of</w:t>
      </w:r>
      <w:r w:rsidR="006D7D5E">
        <w:t xml:space="preserve"> investment climate </w:t>
      </w:r>
      <w:r>
        <w:t>reform more generally is not yet able to verify</w:t>
      </w:r>
      <w:r w:rsidR="006D7D5E">
        <w:t xml:space="preserve"> or measure the impact of projects</w:t>
      </w:r>
      <w:r>
        <w:t>.</w:t>
      </w:r>
      <w:r w:rsidR="007851CD">
        <w:t xml:space="preserve"> </w:t>
      </w:r>
      <w:r>
        <w:t>For example, an IEG evaluation of 819 World Bank investment climate projects concluded that</w:t>
      </w:r>
      <w:r w:rsidR="003A0D16">
        <w:t>:</w:t>
      </w:r>
    </w:p>
    <w:p w:rsidR="009D3AD0" w:rsidRDefault="009D3AD0" w:rsidP="009D3AD0">
      <w:pPr>
        <w:pStyle w:val="Quote"/>
      </w:pPr>
      <w:r>
        <w:t>Broader impact [of the investment climate projects studied] on investment, job formation, and growth is still not clear. Neither is the overall effect of these solutions when taking a holistic country-level view.</w:t>
      </w:r>
      <w:r w:rsidR="007851CD">
        <w:t xml:space="preserve"> </w:t>
      </w:r>
      <w:r>
        <w:t>Further, the social purpose of regulation and therefore the social impact of regulatory reform is not properly identified and measured.</w:t>
      </w:r>
      <w:r>
        <w:rPr>
          <w:rStyle w:val="FootnoteReference"/>
        </w:rPr>
        <w:footnoteReference w:id="4"/>
      </w:r>
    </w:p>
    <w:p w:rsidR="009D3AD0" w:rsidRDefault="0012236C" w:rsidP="009D3AD0">
      <w:r>
        <w:t>At this stage available evidence is limited to</w:t>
      </w:r>
      <w:r w:rsidR="003A0D16">
        <w:t>:</w:t>
      </w:r>
    </w:p>
    <w:p w:rsidR="0012236C" w:rsidRDefault="0012236C" w:rsidP="0012236C">
      <w:pPr>
        <w:pStyle w:val="ListParagraph"/>
        <w:numPr>
          <w:ilvl w:val="0"/>
          <w:numId w:val="39"/>
        </w:numPr>
      </w:pPr>
      <w:r>
        <w:t xml:space="preserve">Associations (often correlations where causation is hard to establish) between </w:t>
      </w:r>
      <w:r w:rsidR="00361483">
        <w:t>aspects of the</w:t>
      </w:r>
      <w:r w:rsidR="006D7D5E">
        <w:t xml:space="preserve"> business environment</w:t>
      </w:r>
      <w:r w:rsidR="00361483">
        <w:t xml:space="preserve"> (most often laws) and a variety of economic and social indicators, and</w:t>
      </w:r>
    </w:p>
    <w:p w:rsidR="00361483" w:rsidRPr="009D3AD0" w:rsidRDefault="00460E4E" w:rsidP="0012236C">
      <w:pPr>
        <w:pStyle w:val="ListParagraph"/>
        <w:numPr>
          <w:ilvl w:val="0"/>
          <w:numId w:val="39"/>
        </w:numPr>
      </w:pPr>
      <w:r>
        <w:lastRenderedPageBreak/>
        <w:t>Output-</w:t>
      </w:r>
      <w:r w:rsidR="00362088">
        <w:t xml:space="preserve"> </w:t>
      </w:r>
      <w:r>
        <w:t>or outcome</w:t>
      </w:r>
      <w:r w:rsidR="00361483">
        <w:t xml:space="preserve">-level evaluation of projects, measuring success by indicators such as </w:t>
      </w:r>
      <w:r w:rsidR="00023633">
        <w:t xml:space="preserve">laws enacted, or </w:t>
      </w:r>
      <w:r w:rsidR="00361483">
        <w:t>cost or time savings for firms.</w:t>
      </w:r>
    </w:p>
    <w:p w:rsidR="00361483" w:rsidRDefault="00D31F3C" w:rsidP="00361483">
      <w:pPr>
        <w:pStyle w:val="Heading2"/>
      </w:pPr>
      <w:bookmarkStart w:id="7" w:name="_Toc453752561"/>
      <w:r>
        <w:t>Women’s Legal Rights and Outcomes</w:t>
      </w:r>
      <w:bookmarkEnd w:id="7"/>
    </w:p>
    <w:p w:rsidR="00C551FB" w:rsidRDefault="00C551FB" w:rsidP="00D914CF">
      <w:r>
        <w:t xml:space="preserve">A World Bank study covering 100 countries over 50 years found that progress in </w:t>
      </w:r>
      <w:r w:rsidR="007851CD">
        <w:t xml:space="preserve">areas of legal equality such as </w:t>
      </w:r>
      <w:r>
        <w:t>the ability to access and own property, sign legal documents on one’s own behalf and</w:t>
      </w:r>
      <w:r w:rsidR="00FE166A">
        <w:t xml:space="preserve"> the existence of</w:t>
      </w:r>
      <w:r>
        <w:t xml:space="preserve"> equality provisions in the constitution are associated with improvements in indicators in girls’ education, health outcomes, women’s participation in elected office and female employment, especially</w:t>
      </w:r>
      <w:r w:rsidR="00E80316">
        <w:t xml:space="preserve"> in the</w:t>
      </w:r>
      <w:r>
        <w:t xml:space="preserve"> formal sector and as employers.</w:t>
      </w:r>
      <w:r w:rsidR="007851CD">
        <w:t xml:space="preserve"> </w:t>
      </w:r>
      <w:r>
        <w:t>Correlations are found both between countries and in a single country over a period of time, although this methodology cannot test for causation.</w:t>
      </w:r>
      <w:r w:rsidR="007851CD">
        <w:t xml:space="preserve"> </w:t>
      </w:r>
      <w:r>
        <w:t>The same study finds that the success of reform appears to depend on the level of wealth and rule of law of the target country</w:t>
      </w:r>
      <w:r w:rsidR="003E304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456"/>
      </w:tblGrid>
      <w:tr w:rsidR="00C551FB" w:rsidTr="00C551FB">
        <w:tc>
          <w:tcPr>
            <w:tcW w:w="4786" w:type="dxa"/>
          </w:tcPr>
          <w:p w:rsidR="00C551FB" w:rsidRDefault="00C551FB" w:rsidP="00D914CF">
            <w:r>
              <w:t>Lower income countries with weaker rule of law:</w:t>
            </w:r>
          </w:p>
        </w:tc>
        <w:tc>
          <w:tcPr>
            <w:tcW w:w="4456" w:type="dxa"/>
          </w:tcPr>
          <w:p w:rsidR="00C551FB" w:rsidRDefault="00C551FB" w:rsidP="00D914CF">
            <w:r>
              <w:t>Greatest success in improving girls’ education and lowering infant mortality</w:t>
            </w:r>
          </w:p>
        </w:tc>
      </w:tr>
      <w:tr w:rsidR="00C551FB" w:rsidTr="00C551FB">
        <w:tc>
          <w:tcPr>
            <w:tcW w:w="4786" w:type="dxa"/>
          </w:tcPr>
          <w:p w:rsidR="00C551FB" w:rsidRDefault="00C551FB" w:rsidP="00D914CF">
            <w:r>
              <w:t>Higher income countries with stronger rule of law:</w:t>
            </w:r>
          </w:p>
        </w:tc>
        <w:tc>
          <w:tcPr>
            <w:tcW w:w="4456" w:type="dxa"/>
          </w:tcPr>
          <w:p w:rsidR="00C551FB" w:rsidRDefault="00C551FB" w:rsidP="00C551FB">
            <w:r>
              <w:t>Greatest success in female labour force participation and off-farm employment</w:t>
            </w:r>
          </w:p>
        </w:tc>
      </w:tr>
    </w:tbl>
    <w:p w:rsidR="00C551FB" w:rsidRDefault="00A32E8C" w:rsidP="00D914CF">
      <w:r>
        <w:t>The World Bank’s</w:t>
      </w:r>
      <w:r w:rsidR="007851CD">
        <w:t xml:space="preserve"> ongoing</w:t>
      </w:r>
      <w:r>
        <w:t xml:space="preserve"> </w:t>
      </w:r>
      <w:r w:rsidRPr="00A32E8C">
        <w:rPr>
          <w:i/>
        </w:rPr>
        <w:t>Women, Business and the Law</w:t>
      </w:r>
      <w:r>
        <w:t xml:space="preserve"> project documents differential legal treatment by gender in 173 countries</w:t>
      </w:r>
      <w:r w:rsidR="00F544FF">
        <w:t xml:space="preserve">, </w:t>
      </w:r>
      <w:r w:rsidR="004A4B81">
        <w:t xml:space="preserve">as well as relevant </w:t>
      </w:r>
      <w:r w:rsidR="00F544FF">
        <w:t>reforms, and social and economic outcomes that are likely to be associated</w:t>
      </w:r>
      <w:r w:rsidR="004A4B81">
        <w:t xml:space="preserve"> with these laws and changes</w:t>
      </w:r>
      <w:r w:rsidR="00F544FF">
        <w:t>.</w:t>
      </w:r>
      <w:r w:rsidR="007851CD">
        <w:t xml:space="preserve"> </w:t>
      </w:r>
      <w:r w:rsidR="00F544FF">
        <w:t xml:space="preserve">Although some of these legal conditions have not traditionally been a common focus of business environment reform projects, </w:t>
      </w:r>
      <w:r w:rsidR="00526C6A">
        <w:t>virtually all</w:t>
      </w:r>
      <w:r w:rsidR="004A4B81">
        <w:t xml:space="preserve"> could be argued to</w:t>
      </w:r>
      <w:r w:rsidR="00526C6A">
        <w:t xml:space="preserve"> fall under the DCED definition of features of the business environment.</w:t>
      </w:r>
    </w:p>
    <w:p w:rsidR="00526C6A" w:rsidRDefault="00526C6A" w:rsidP="00D914CF">
      <w:r>
        <w:t>This body of evidence is reflected in recent and current programming, with an estimated three quarters of gender-sensitive business environment reform projects focusing on policy and the legal framework.</w:t>
      </w:r>
    </w:p>
    <w:p w:rsidR="00034F81" w:rsidRDefault="00034F81" w:rsidP="00034F81">
      <w:pPr>
        <w:pStyle w:val="Heading2"/>
      </w:pPr>
      <w:bookmarkStart w:id="8" w:name="_Toc453752562"/>
      <w:r>
        <w:t>Childcare</w:t>
      </w:r>
      <w:bookmarkEnd w:id="8"/>
    </w:p>
    <w:p w:rsidR="001E413B" w:rsidRPr="001E413B" w:rsidRDefault="001E413B" w:rsidP="001E413B">
      <w:pPr>
        <w:pStyle w:val="Quote"/>
      </w:pPr>
      <w:r>
        <w:t>Access to affordable childcare is one of the most important constraints preventing more women accessing formal sector employment.  Analysis that is gender aware will make extension of childcare a core business environment priority.</w:t>
      </w:r>
    </w:p>
    <w:p w:rsidR="008D5042" w:rsidRDefault="00634850" w:rsidP="00634850">
      <w:r>
        <w:t xml:space="preserve">Childcare is one area in which there is relatively strong evidence both that childcare support is associated with greater female participation in the workforce, and that government-led programmes have been successful in </w:t>
      </w:r>
      <w:r w:rsidR="008D5042">
        <w:t xml:space="preserve">increasing </w:t>
      </w:r>
      <w:r w:rsidR="00F95248">
        <w:t xml:space="preserve">the provision and </w:t>
      </w:r>
      <w:r w:rsidR="008D5042">
        <w:t>use of childcare.</w:t>
      </w:r>
      <w:r w:rsidR="0017372E">
        <w:rPr>
          <w:rStyle w:val="FootnoteReference"/>
        </w:rPr>
        <w:footnoteReference w:id="5"/>
      </w:r>
      <w:r w:rsidR="007851CD">
        <w:t xml:space="preserve"> </w:t>
      </w:r>
      <w:r w:rsidR="0094425A">
        <w:t>More than twice as many women receive wages in countries where childcare is subsidized or publicly provided.</w:t>
      </w:r>
      <w:r w:rsidR="005B4699">
        <w:rPr>
          <w:rStyle w:val="FootnoteReference"/>
        </w:rPr>
        <w:footnoteReference w:id="6"/>
      </w:r>
      <w:r w:rsidR="007851CD">
        <w:t xml:space="preserve"> </w:t>
      </w:r>
      <w:r w:rsidR="008D5042">
        <w:t xml:space="preserve">It is also an area that has received </w:t>
      </w:r>
      <w:r w:rsidR="00E61B98">
        <w:t xml:space="preserve">relatively </w:t>
      </w:r>
      <w:r w:rsidR="008D5042">
        <w:t>little attention from donors.</w:t>
      </w:r>
      <w:r w:rsidR="007851CD">
        <w:t xml:space="preserve"> </w:t>
      </w:r>
      <w:r w:rsidR="008D5042">
        <w:t>The two main reform areas are</w:t>
      </w:r>
      <w:r w:rsidR="003A0D16">
        <w:t>:</w:t>
      </w:r>
    </w:p>
    <w:p w:rsidR="00634850" w:rsidRDefault="008D5042" w:rsidP="008D5042">
      <w:pPr>
        <w:pStyle w:val="ListParagraph"/>
        <w:numPr>
          <w:ilvl w:val="0"/>
          <w:numId w:val="41"/>
        </w:numPr>
      </w:pPr>
      <w:r>
        <w:t>law</w:t>
      </w:r>
      <w:r w:rsidR="003A0D16">
        <w:t>s</w:t>
      </w:r>
      <w:r>
        <w:t xml:space="preserve"> relating to maternity and paternity leave (how much is a statutory requirement and how is the cost divided between employers and government), and</w:t>
      </w:r>
    </w:p>
    <w:p w:rsidR="008D5042" w:rsidRDefault="008D5042" w:rsidP="008D5042">
      <w:pPr>
        <w:pStyle w:val="ListParagraph"/>
        <w:numPr>
          <w:ilvl w:val="0"/>
          <w:numId w:val="41"/>
        </w:numPr>
      </w:pPr>
      <w:proofErr w:type="gramStart"/>
      <w:r>
        <w:t>fiscal</w:t>
      </w:r>
      <w:proofErr w:type="gramEnd"/>
      <w:r>
        <w:t xml:space="preserve"> policy towards childcare, i.e. whether childcare services receive any form of tax incentive or subsidy.</w:t>
      </w:r>
    </w:p>
    <w:p w:rsidR="006968A8" w:rsidRDefault="00161817" w:rsidP="006968A8">
      <w:r>
        <w:t>Mexico’s Estancias</w:t>
      </w:r>
      <w:r>
        <w:rPr>
          <w:rStyle w:val="FootnoteReference"/>
        </w:rPr>
        <w:footnoteReference w:id="7"/>
      </w:r>
      <w:r>
        <w:t xml:space="preserve"> programme is unusual in that it was created with the explicit aim of increasing women’s labour force participation, rather than to aid child development (although it still contains </w:t>
      </w:r>
      <w:r>
        <w:lastRenderedPageBreak/>
        <w:t>health and educational components).</w:t>
      </w:r>
      <w:r w:rsidR="007851CD">
        <w:t xml:space="preserve"> </w:t>
      </w:r>
      <w:r>
        <w:t>The project achieved an 18% increase in employment among beneficiary mothers, who on average increased their hours of work by six per week.</w:t>
      </w:r>
      <w:r w:rsidR="00463970">
        <w:rPr>
          <w:rStyle w:val="FootnoteReference"/>
        </w:rPr>
        <w:footnoteReference w:id="8"/>
      </w:r>
    </w:p>
    <w:p w:rsidR="00034F81" w:rsidRDefault="00345CE6" w:rsidP="00345CE6">
      <w:pPr>
        <w:pStyle w:val="Heading2"/>
      </w:pPr>
      <w:bookmarkStart w:id="9" w:name="_Toc453752563"/>
      <w:r>
        <w:t>Formalisation</w:t>
      </w:r>
      <w:bookmarkEnd w:id="9"/>
    </w:p>
    <w:p w:rsidR="008249D5" w:rsidRDefault="008249D5" w:rsidP="00345CE6">
      <w:r>
        <w:t xml:space="preserve">Policy </w:t>
      </w:r>
      <w:r w:rsidR="006509C9">
        <w:t>to promote the</w:t>
      </w:r>
      <w:r>
        <w:t xml:space="preserve"> formalisation of small businesses is a controversial component of business environment reform</w:t>
      </w:r>
      <w:r w:rsidR="006509C9">
        <w:t xml:space="preserve">. </w:t>
      </w:r>
      <w:r>
        <w:t xml:space="preserve">Tax authorities and existing formal enterprises (who tend to gain disproportionate influence in private sector consultations) </w:t>
      </w:r>
      <w:r w:rsidR="003478B2">
        <w:t xml:space="preserve">can </w:t>
      </w:r>
      <w:r>
        <w:t>form a formidable alliance in favour of expanding the formal sector to ever-smaller operator</w:t>
      </w:r>
      <w:r w:rsidR="001D6AC3">
        <w:t>s</w:t>
      </w:r>
      <w:r>
        <w:t>, whereas richer countries often provide significant exemptions from tax and regulatory requirements for small operators, especially individuals</w:t>
      </w:r>
      <w:r w:rsidR="003478B2">
        <w:t>, to encourage business formation and avoid placing an unrealistic burden on the self-employed</w:t>
      </w:r>
      <w:r>
        <w:t>.</w:t>
      </w:r>
      <w:r w:rsidR="007851CD">
        <w:t xml:space="preserve"> This issue becomes even more complex when a proper gender analysis is included.</w:t>
      </w:r>
    </w:p>
    <w:p w:rsidR="00345CE6" w:rsidRDefault="008249D5" w:rsidP="00345CE6">
      <w:r>
        <w:t>However, in many countries formalisation brings access to important benefits such as maternity leave and paid breastfeeding breaks.</w:t>
      </w:r>
      <w:r w:rsidR="007851CD">
        <w:t xml:space="preserve"> </w:t>
      </w:r>
      <w:r>
        <w:t>Whilst these may be critical to female participation in the workforce, if they are employer-funded they can also act as a disincentive to the employment of women of childbearing age</w:t>
      </w:r>
      <w:r w:rsidR="004E5517">
        <w:t>.</w:t>
      </w:r>
      <w:r w:rsidR="004E5517">
        <w:rPr>
          <w:rStyle w:val="FootnoteReference"/>
        </w:rPr>
        <w:footnoteReference w:id="9"/>
      </w:r>
    </w:p>
    <w:p w:rsidR="004E5517" w:rsidRPr="00345CE6" w:rsidRDefault="004E5517" w:rsidP="00345CE6">
      <w:r>
        <w:t>The ODI point to examples of attempts to address this issue, such as NGOs in India (SEWA) and Bangladesh (BRAC) who offer self-paid maternity insurance for medical costs</w:t>
      </w:r>
      <w:r w:rsidR="00FC7C45">
        <w:t xml:space="preserve"> to informal-sector workers</w:t>
      </w:r>
      <w:r>
        <w:t>, noting that this could be expanded to include time off.</w:t>
      </w:r>
      <w:r w:rsidR="007851CD">
        <w:t xml:space="preserve"> </w:t>
      </w:r>
      <w:r>
        <w:t xml:space="preserve">In India, a cash transfer model </w:t>
      </w:r>
      <w:r w:rsidR="001F55F9">
        <w:t xml:space="preserve">was </w:t>
      </w:r>
      <w:r w:rsidR="00B64EFC">
        <w:t>trialled</w:t>
      </w:r>
      <w:r>
        <w:t xml:space="preserve"> </w:t>
      </w:r>
      <w:r w:rsidR="001F55F9">
        <w:t xml:space="preserve">in 2010 </w:t>
      </w:r>
      <w:r>
        <w:t>which aim</w:t>
      </w:r>
      <w:r w:rsidR="006C40BF">
        <w:t>ed</w:t>
      </w:r>
      <w:r w:rsidR="007851CD">
        <w:t xml:space="preserve"> to partially offset wage loss</w:t>
      </w:r>
      <w:r>
        <w:t>.</w:t>
      </w:r>
      <w:r w:rsidR="007851CD">
        <w:rPr>
          <w:rStyle w:val="FootnoteReference"/>
        </w:rPr>
        <w:footnoteReference w:id="10"/>
      </w:r>
    </w:p>
    <w:p w:rsidR="003C1AFB" w:rsidRDefault="003C1AFB" w:rsidP="003C1AFB">
      <w:pPr>
        <w:pStyle w:val="Heading1"/>
      </w:pPr>
      <w:bookmarkStart w:id="10" w:name="_Toc453752564"/>
      <w:r>
        <w:t>Case Study: Bangladesh</w:t>
      </w:r>
      <w:r w:rsidR="00CA0C62">
        <w:t xml:space="preserve"> Investment Climate </w:t>
      </w:r>
      <w:bookmarkEnd w:id="10"/>
      <w:r w:rsidR="00F1351F">
        <w:t>Fund Phase 2</w:t>
      </w:r>
    </w:p>
    <w:p w:rsidR="007654DB" w:rsidRDefault="007654DB" w:rsidP="007654DB">
      <w:r>
        <w:t>How does this differentially affect women?</w:t>
      </w:r>
    </w:p>
    <w:p w:rsidR="007654DB" w:rsidRDefault="007654DB" w:rsidP="007654DB">
      <w:r>
        <w:t>What can be done?</w:t>
      </w:r>
    </w:p>
    <w:p w:rsidR="007654DB" w:rsidRPr="007654DB" w:rsidRDefault="007654DB" w:rsidP="007654DB">
      <w:r>
        <w:t>What questions should a diagnostic ask?  Where is information available to support analysis?</w:t>
      </w:r>
    </w:p>
    <w:tbl>
      <w:tblPr>
        <w:tblStyle w:val="TableGrid"/>
        <w:tblW w:w="0" w:type="auto"/>
        <w:tblLayout w:type="fixed"/>
        <w:tblLook w:val="04A0"/>
      </w:tblPr>
      <w:tblGrid>
        <w:gridCol w:w="1668"/>
        <w:gridCol w:w="3685"/>
        <w:gridCol w:w="3889"/>
      </w:tblGrid>
      <w:tr w:rsidR="00F1351F" w:rsidTr="00052A18">
        <w:tc>
          <w:tcPr>
            <w:tcW w:w="1668" w:type="dxa"/>
          </w:tcPr>
          <w:p w:rsidR="00F1351F" w:rsidRDefault="00F1351F" w:rsidP="00F1351F">
            <w:pPr>
              <w:jc w:val="center"/>
            </w:pPr>
            <w:r>
              <w:t>Pillar</w:t>
            </w:r>
          </w:p>
        </w:tc>
        <w:tc>
          <w:tcPr>
            <w:tcW w:w="3685" w:type="dxa"/>
          </w:tcPr>
          <w:p w:rsidR="00F1351F" w:rsidRDefault="00F1351F" w:rsidP="00F1351F">
            <w:pPr>
              <w:jc w:val="center"/>
            </w:pPr>
            <w:r>
              <w:t>Activit</w:t>
            </w:r>
            <w:r w:rsidR="00193DF9">
              <w:t>ies</w:t>
            </w:r>
          </w:p>
        </w:tc>
        <w:tc>
          <w:tcPr>
            <w:tcW w:w="3889" w:type="dxa"/>
          </w:tcPr>
          <w:p w:rsidR="00F1351F" w:rsidRDefault="00F1351F" w:rsidP="00F1351F">
            <w:pPr>
              <w:jc w:val="center"/>
            </w:pPr>
            <w:r>
              <w:t>Gender considerations</w:t>
            </w:r>
          </w:p>
        </w:tc>
      </w:tr>
      <w:tr w:rsidR="00F1351F" w:rsidTr="00052A18">
        <w:tc>
          <w:tcPr>
            <w:tcW w:w="1668" w:type="dxa"/>
            <w:vMerge w:val="restart"/>
          </w:tcPr>
          <w:p w:rsidR="00F1351F" w:rsidRDefault="00F1351F" w:rsidP="003C1AFB">
            <w:r>
              <w:t>Modernise and reform the regulatory framework</w:t>
            </w:r>
          </w:p>
        </w:tc>
        <w:tc>
          <w:tcPr>
            <w:tcW w:w="3685" w:type="dxa"/>
          </w:tcPr>
          <w:p w:rsidR="00F1351F" w:rsidRDefault="00F1351F" w:rsidP="00F1351F">
            <w:r>
              <w:t>Regulatory modernisation such as updating the Industrial Policy, Competition Act and other investment climate areas that relate to the Doing Business indicators</w:t>
            </w:r>
          </w:p>
        </w:tc>
        <w:tc>
          <w:tcPr>
            <w:tcW w:w="3889" w:type="dxa"/>
          </w:tcPr>
          <w:p w:rsidR="00F1351F" w:rsidRDefault="00F1351F" w:rsidP="003C1AFB"/>
        </w:tc>
      </w:tr>
      <w:tr w:rsidR="00F1351F" w:rsidTr="00052A18">
        <w:tc>
          <w:tcPr>
            <w:tcW w:w="1668" w:type="dxa"/>
            <w:vMerge/>
          </w:tcPr>
          <w:p w:rsidR="00F1351F" w:rsidRDefault="00F1351F" w:rsidP="003C1AFB"/>
        </w:tc>
        <w:tc>
          <w:tcPr>
            <w:tcW w:w="3685" w:type="dxa"/>
          </w:tcPr>
          <w:p w:rsidR="00F1351F" w:rsidRDefault="00F1351F" w:rsidP="00F1351F">
            <w:r>
              <w:t>Process simplification for government to business services such as inspection reform</w:t>
            </w:r>
          </w:p>
        </w:tc>
        <w:tc>
          <w:tcPr>
            <w:tcW w:w="3889" w:type="dxa"/>
          </w:tcPr>
          <w:p w:rsidR="00F1351F" w:rsidRDefault="00F1351F" w:rsidP="003C1AFB"/>
        </w:tc>
      </w:tr>
      <w:tr w:rsidR="00F1351F" w:rsidTr="00052A18">
        <w:tc>
          <w:tcPr>
            <w:tcW w:w="1668" w:type="dxa"/>
            <w:vMerge/>
          </w:tcPr>
          <w:p w:rsidR="00F1351F" w:rsidRDefault="00F1351F" w:rsidP="003C1AFB"/>
        </w:tc>
        <w:tc>
          <w:tcPr>
            <w:tcW w:w="3685" w:type="dxa"/>
          </w:tcPr>
          <w:p w:rsidR="00F1351F" w:rsidRDefault="00F1351F" w:rsidP="00F1351F">
            <w:r>
              <w:t>Institution b</w:t>
            </w:r>
            <w:r>
              <w:t>uilding to take forward reform sustainably: by supporting the Public-Private Dialogue platform, Private Sector Development Policy Coordination Committee (within the government of Bangladesh), Board of Investment</w:t>
            </w:r>
          </w:p>
        </w:tc>
        <w:tc>
          <w:tcPr>
            <w:tcW w:w="3889" w:type="dxa"/>
          </w:tcPr>
          <w:p w:rsidR="00F1351F" w:rsidRDefault="00F1351F" w:rsidP="003C1AFB"/>
        </w:tc>
      </w:tr>
      <w:tr w:rsidR="00F1351F" w:rsidTr="00052A18">
        <w:tc>
          <w:tcPr>
            <w:tcW w:w="1668" w:type="dxa"/>
            <w:vMerge w:val="restart"/>
          </w:tcPr>
          <w:p w:rsidR="00F1351F" w:rsidRDefault="00F1351F" w:rsidP="003C1AFB">
            <w:r>
              <w:lastRenderedPageBreak/>
              <w:t>Improve industrial infrastructure</w:t>
            </w:r>
          </w:p>
        </w:tc>
        <w:tc>
          <w:tcPr>
            <w:tcW w:w="3685" w:type="dxa"/>
          </w:tcPr>
          <w:p w:rsidR="00F1351F" w:rsidRDefault="00F1351F" w:rsidP="00F1351F">
            <w:r w:rsidRPr="00F1351F">
              <w:t xml:space="preserve">Access </w:t>
            </w:r>
            <w:r w:rsidR="007E2CBF" w:rsidRPr="00F1351F">
              <w:t>t</w:t>
            </w:r>
            <w:r w:rsidRPr="00F1351F">
              <w:t xml:space="preserve">o </w:t>
            </w:r>
            <w:r w:rsidR="007E2CBF" w:rsidRPr="00F1351F">
              <w:t>i</w:t>
            </w:r>
            <w:r w:rsidRPr="00F1351F">
              <w:t xml:space="preserve">ndustrial </w:t>
            </w:r>
            <w:r w:rsidR="007E2CBF" w:rsidRPr="00F1351F">
              <w:t>l</w:t>
            </w:r>
            <w:r w:rsidRPr="00F1351F">
              <w:t>and</w:t>
            </w:r>
            <w:r w:rsidR="007E2CBF" w:rsidRPr="00F1351F">
              <w:t>:</w:t>
            </w:r>
            <w:r w:rsidRPr="00F1351F">
              <w:t xml:space="preserve"> </w:t>
            </w:r>
            <w:r w:rsidR="007E2CBF" w:rsidRPr="00F1351F">
              <w:t>t</w:t>
            </w:r>
            <w:r w:rsidRPr="00F1351F">
              <w:t>ake forward the zones agenda, technical assistance to complement the PSDSP 2 loan to the government; improve social compliance in zones, land bank of government land; support investment promotion agencies to facilitate land registration for investors</w:t>
            </w:r>
          </w:p>
        </w:tc>
        <w:tc>
          <w:tcPr>
            <w:tcW w:w="3889" w:type="dxa"/>
          </w:tcPr>
          <w:p w:rsidR="00F1351F" w:rsidRDefault="00F1351F" w:rsidP="003C1AFB"/>
        </w:tc>
      </w:tr>
      <w:tr w:rsidR="00F1351F" w:rsidTr="00052A18">
        <w:tc>
          <w:tcPr>
            <w:tcW w:w="1668" w:type="dxa"/>
            <w:vMerge/>
          </w:tcPr>
          <w:p w:rsidR="00F1351F" w:rsidRDefault="00F1351F" w:rsidP="003C1AFB"/>
        </w:tc>
        <w:tc>
          <w:tcPr>
            <w:tcW w:w="3685" w:type="dxa"/>
          </w:tcPr>
          <w:p w:rsidR="00F1351F" w:rsidRPr="00F1351F" w:rsidRDefault="00F1351F" w:rsidP="00F1351F">
            <w:r w:rsidRPr="00F1351F">
              <w:t xml:space="preserve">Access to </w:t>
            </w:r>
            <w:r w:rsidR="007E2CBF" w:rsidRPr="00F1351F">
              <w:t>e</w:t>
            </w:r>
            <w:r w:rsidRPr="00F1351F">
              <w:t>nergy</w:t>
            </w:r>
            <w:r w:rsidR="007E2CBF" w:rsidRPr="00F1351F">
              <w:t>:</w:t>
            </w:r>
            <w:r w:rsidRPr="00F1351F">
              <w:t xml:space="preserve"> </w:t>
            </w:r>
            <w:r w:rsidR="007E2CBF" w:rsidRPr="00F1351F">
              <w:t>p</w:t>
            </w:r>
            <w:r w:rsidRPr="00F1351F">
              <w:t xml:space="preserve">rovide </w:t>
            </w:r>
            <w:r w:rsidR="007E2CBF" w:rsidRPr="00F1351F">
              <w:t>i</w:t>
            </w:r>
            <w:r w:rsidRPr="00F1351F">
              <w:t xml:space="preserve">mplementation </w:t>
            </w:r>
            <w:r w:rsidR="007E2CBF" w:rsidRPr="00F1351F">
              <w:t>s</w:t>
            </w:r>
            <w:r w:rsidRPr="00F1351F">
              <w:t xml:space="preserve">upport to Investment Promotion Financing Facility of the World Bank, remove post-license regulatory barriers for power plant investments, update pricing policy for gas exploration and development, reform of </w:t>
            </w:r>
            <w:r w:rsidR="007E2CBF" w:rsidRPr="00F1351F">
              <w:t>g</w:t>
            </w:r>
            <w:r w:rsidRPr="00F1351F">
              <w:t xml:space="preserve">as project steering committee processes </w:t>
            </w:r>
          </w:p>
        </w:tc>
        <w:tc>
          <w:tcPr>
            <w:tcW w:w="3889" w:type="dxa"/>
          </w:tcPr>
          <w:p w:rsidR="00F1351F" w:rsidRDefault="00F1351F" w:rsidP="003C1AFB"/>
        </w:tc>
      </w:tr>
      <w:tr w:rsidR="00F1351F" w:rsidTr="00052A18">
        <w:tc>
          <w:tcPr>
            <w:tcW w:w="1668" w:type="dxa"/>
            <w:vMerge w:val="restart"/>
          </w:tcPr>
          <w:p w:rsidR="00F1351F" w:rsidRDefault="00F1351F" w:rsidP="003C1AFB">
            <w:r>
              <w:t>Enhance export diversification and sector competitiveness</w:t>
            </w:r>
          </w:p>
        </w:tc>
        <w:tc>
          <w:tcPr>
            <w:tcW w:w="3685" w:type="dxa"/>
          </w:tcPr>
          <w:p w:rsidR="00F1351F" w:rsidRPr="00F1351F" w:rsidRDefault="001D588C" w:rsidP="001D588C">
            <w:proofErr w:type="spellStart"/>
            <w:r>
              <w:t>Sectoral</w:t>
            </w:r>
            <w:proofErr w:type="spellEnd"/>
            <w:r>
              <w:t xml:space="preserve"> c</w:t>
            </w:r>
            <w:r w:rsidR="00F1351F">
              <w:t xml:space="preserve">ompetitiveness: </w:t>
            </w:r>
            <w:r>
              <w:t>u</w:t>
            </w:r>
            <w:r w:rsidR="00F1351F">
              <w:t xml:space="preserve">ndertake comprehensive sector competitiveness benchmarking, streamline sector-specific regulatory constraints (deepening of existing work in </w:t>
            </w:r>
            <w:r>
              <w:t>a</w:t>
            </w:r>
            <w:r w:rsidR="00F1351F">
              <w:t>gribusiness while expanding to two new sectors), ensure efficient contract enforcement in target sectors, investment promotion</w:t>
            </w:r>
          </w:p>
        </w:tc>
        <w:tc>
          <w:tcPr>
            <w:tcW w:w="3889" w:type="dxa"/>
          </w:tcPr>
          <w:p w:rsidR="00F1351F" w:rsidRDefault="00F1351F" w:rsidP="003C1AFB"/>
        </w:tc>
      </w:tr>
      <w:tr w:rsidR="00F1351F" w:rsidTr="00052A18">
        <w:tc>
          <w:tcPr>
            <w:tcW w:w="1668" w:type="dxa"/>
            <w:vMerge/>
          </w:tcPr>
          <w:p w:rsidR="00F1351F" w:rsidRDefault="00F1351F" w:rsidP="003C1AFB"/>
        </w:tc>
        <w:tc>
          <w:tcPr>
            <w:tcW w:w="3685" w:type="dxa"/>
          </w:tcPr>
          <w:p w:rsidR="00F1351F" w:rsidRDefault="00F1351F" w:rsidP="001D588C">
            <w:r>
              <w:t xml:space="preserve">Trade </w:t>
            </w:r>
            <w:r w:rsidR="001D588C">
              <w:t>c</w:t>
            </w:r>
            <w:r>
              <w:t xml:space="preserve">ompetitiveness: </w:t>
            </w:r>
            <w:r w:rsidR="001D588C">
              <w:t>r</w:t>
            </w:r>
            <w:r>
              <w:t xml:space="preserve">eview and rationalise fiscal and non-fiscal incentives, trade competitiveness and trade policy diagnostics, streamline trade facilitation and logistics  </w:t>
            </w:r>
          </w:p>
        </w:tc>
        <w:tc>
          <w:tcPr>
            <w:tcW w:w="3889" w:type="dxa"/>
          </w:tcPr>
          <w:p w:rsidR="00F1351F" w:rsidRDefault="00F1351F" w:rsidP="003C1AFB"/>
        </w:tc>
      </w:tr>
    </w:tbl>
    <w:p w:rsidR="003C1AFB" w:rsidRDefault="003C1AFB" w:rsidP="003C1AFB"/>
    <w:p w:rsidR="00526C6A" w:rsidRPr="00526C6A" w:rsidRDefault="00526C6A" w:rsidP="00526C6A">
      <w:pPr>
        <w:pStyle w:val="Heading1"/>
      </w:pPr>
      <w:bookmarkStart w:id="11" w:name="_Toc453752565"/>
      <w:r>
        <w:t>Innovation and Learning</w:t>
      </w:r>
      <w:bookmarkEnd w:id="11"/>
    </w:p>
    <w:p w:rsidR="00345CE6" w:rsidRDefault="007851CD" w:rsidP="00345CE6">
      <w:bookmarkStart w:id="12" w:name="_GoBack"/>
      <w:r>
        <w:t xml:space="preserve">One of the key lessons to come out of recent projects is to establish </w:t>
      </w:r>
      <w:proofErr w:type="gramStart"/>
      <w:r>
        <w:t>an openness</w:t>
      </w:r>
      <w:proofErr w:type="gramEnd"/>
      <w:r>
        <w:t xml:space="preserve"> to sub-national experimentation in implementation, and try to encourage or provide mechanisms for early successes to be reported and rolled out more widely.  This is perhaps unsurprising, g</w:t>
      </w:r>
      <w:r w:rsidR="00345CE6">
        <w:t xml:space="preserve">iven the limitations in </w:t>
      </w:r>
      <w:r>
        <w:t xml:space="preserve">existing </w:t>
      </w:r>
      <w:r w:rsidR="00345CE6">
        <w:t xml:space="preserve">evidence, and the need for projects to be tailored to local </w:t>
      </w:r>
      <w:bookmarkEnd w:id="12"/>
      <w:r w:rsidR="00345CE6">
        <w:t>contexts.</w:t>
      </w:r>
      <w:r>
        <w:t xml:space="preserve"> </w:t>
      </w:r>
      <w:r w:rsidR="00345CE6">
        <w:t xml:space="preserve">The GREAT </w:t>
      </w:r>
      <w:proofErr w:type="gramStart"/>
      <w:r w:rsidR="00345CE6">
        <w:t>Women</w:t>
      </w:r>
      <w:r w:rsidR="00956A41">
        <w:rPr>
          <w:rStyle w:val="FootnoteReference"/>
        </w:rPr>
        <w:footnoteReference w:id="11"/>
      </w:r>
      <w:r w:rsidR="00345CE6">
        <w:t xml:space="preserve"> project in the Philippines and the ALCP</w:t>
      </w:r>
      <w:r w:rsidR="00345CE6">
        <w:rPr>
          <w:rStyle w:val="FootnoteReference"/>
        </w:rPr>
        <w:footnoteReference w:id="12"/>
      </w:r>
      <w:r w:rsidR="00345CE6">
        <w:t xml:space="preserve"> in Georgia have</w:t>
      </w:r>
      <w:proofErr w:type="gramEnd"/>
      <w:r w:rsidR="00345CE6">
        <w:t xml:space="preserve"> both</w:t>
      </w:r>
      <w:r w:rsidR="00956A41">
        <w:t xml:space="preserve"> been able to identify successful innovations and to find avenues to re</w:t>
      </w:r>
      <w:r w:rsidR="00B64EFC">
        <w:t>-</w:t>
      </w:r>
      <w:r w:rsidR="00956A41">
        <w:t>apply that knowledge in other geographic areas within the project cycle.</w:t>
      </w:r>
    </w:p>
    <w:p w:rsidR="003C1AFB" w:rsidRDefault="003C1AFB" w:rsidP="003C1AFB">
      <w:pPr>
        <w:pStyle w:val="Heading1"/>
      </w:pPr>
      <w:bookmarkStart w:id="13" w:name="_Toc453752566"/>
      <w:r>
        <w:t>Conclusion</w:t>
      </w:r>
      <w:bookmarkEnd w:id="13"/>
    </w:p>
    <w:p w:rsidR="003C1AFB" w:rsidRDefault="003C1AFB" w:rsidP="003C1AFB"/>
    <w:p w:rsidR="003C1AFB" w:rsidRDefault="003C1AFB" w:rsidP="003C1AFB">
      <w:pPr>
        <w:pStyle w:val="Heading1"/>
      </w:pPr>
      <w:bookmarkStart w:id="14" w:name="_Toc453752567"/>
      <w:r>
        <w:lastRenderedPageBreak/>
        <w:t>References</w:t>
      </w:r>
      <w:bookmarkEnd w:id="14"/>
    </w:p>
    <w:p w:rsidR="003C1AFB" w:rsidRDefault="00743540" w:rsidP="00743540">
      <w:pPr>
        <w:pStyle w:val="Comment"/>
      </w:pPr>
      <w:r>
        <w:t>Include summaries of key documents?</w:t>
      </w:r>
    </w:p>
    <w:p w:rsidR="00E13B24" w:rsidRPr="00E13B24" w:rsidRDefault="00E13B24" w:rsidP="00F44D38">
      <w:pPr>
        <w:pStyle w:val="Bibliography"/>
      </w:pPr>
      <w:r>
        <w:t xml:space="preserve">BILS, 2009, </w:t>
      </w:r>
      <w:r>
        <w:rPr>
          <w:i/>
        </w:rPr>
        <w:t>Women’s Participation in Trade Unions in Bangladesh: Status, Barriers and Overcoming Strategies</w:t>
      </w:r>
      <w:r>
        <w:t>, Dhaka: ILO, August 2009</w:t>
      </w:r>
    </w:p>
    <w:p w:rsidR="00F44D38" w:rsidRPr="00887E94" w:rsidRDefault="00F44D38" w:rsidP="00F44D38">
      <w:pPr>
        <w:pStyle w:val="Bibliography"/>
      </w:pPr>
      <w:r w:rsidRPr="00887E94">
        <w:t>Davidson</w:t>
      </w:r>
      <w:r>
        <w:t xml:space="preserve">, </w:t>
      </w:r>
      <w:proofErr w:type="spellStart"/>
      <w:r>
        <w:t>Euan</w:t>
      </w:r>
      <w:proofErr w:type="spellEnd"/>
      <w:r w:rsidRPr="00887E94">
        <w:t xml:space="preserve">, Anastasia de Santos, Yoon Lee, Nathan Martinez, Caroline Smith, and </w:t>
      </w:r>
      <w:proofErr w:type="spellStart"/>
      <w:r w:rsidRPr="00887E94">
        <w:t>Takele</w:t>
      </w:r>
      <w:proofErr w:type="spellEnd"/>
      <w:r w:rsidRPr="00887E94">
        <w:t xml:space="preserve"> </w:t>
      </w:r>
      <w:proofErr w:type="spellStart"/>
      <w:r w:rsidRPr="00887E94">
        <w:t>Tassew</w:t>
      </w:r>
      <w:proofErr w:type="spellEnd"/>
      <w:r>
        <w:t xml:space="preserve">, 2014, </w:t>
      </w:r>
      <w:r>
        <w:rPr>
          <w:i/>
        </w:rPr>
        <w:t>Bangladesh Inclusive Growth Diagnostic</w:t>
      </w:r>
      <w:r>
        <w:t>, June 2014, USAID and DFID</w:t>
      </w:r>
    </w:p>
    <w:p w:rsidR="00E826B8" w:rsidRDefault="00E826B8" w:rsidP="00E826B8">
      <w:pPr>
        <w:pStyle w:val="Bibliography"/>
      </w:pPr>
      <w:r w:rsidRPr="00E826B8">
        <w:t xml:space="preserve">DCED, 2008, </w:t>
      </w:r>
      <w:r w:rsidRPr="00F7798F">
        <w:rPr>
          <w:i/>
        </w:rPr>
        <w:t>Supporting Business Environment Reforms: Practical Guidance for Development Agencies</w:t>
      </w:r>
      <w:r w:rsidRPr="00E826B8">
        <w:t>, Donor Committee for Enterprise Development</w:t>
      </w:r>
    </w:p>
    <w:p w:rsidR="006E2441" w:rsidRPr="006E2441" w:rsidRDefault="006E2441" w:rsidP="00E826B8">
      <w:pPr>
        <w:pStyle w:val="Bibliography"/>
      </w:pPr>
      <w:r>
        <w:t xml:space="preserve">DFID, 2008, </w:t>
      </w:r>
      <w:proofErr w:type="gramStart"/>
      <w:r>
        <w:rPr>
          <w:i/>
        </w:rPr>
        <w:t>The</w:t>
      </w:r>
      <w:proofErr w:type="gramEnd"/>
      <w:r>
        <w:rPr>
          <w:i/>
        </w:rPr>
        <w:t xml:space="preserve"> Gender Manual: A Practical Guide</w:t>
      </w:r>
      <w:r>
        <w:t xml:space="preserve">, </w:t>
      </w:r>
      <w:r w:rsidR="00DB25F6">
        <w:t>London: Department for International Development</w:t>
      </w:r>
      <w:r w:rsidR="00913381">
        <w:t>, Equity and Rights Team</w:t>
      </w:r>
    </w:p>
    <w:p w:rsidR="00315B2F" w:rsidRPr="00315B2F" w:rsidRDefault="00315B2F" w:rsidP="00315B2F">
      <w:pPr>
        <w:pStyle w:val="Bibliography"/>
      </w:pPr>
      <w:proofErr w:type="spellStart"/>
      <w:r w:rsidRPr="00315B2F">
        <w:t>Golla</w:t>
      </w:r>
      <w:proofErr w:type="spellEnd"/>
      <w:r w:rsidRPr="00315B2F">
        <w:t xml:space="preserve">, Anne Marie, </w:t>
      </w:r>
      <w:proofErr w:type="spellStart"/>
      <w:r w:rsidRPr="00315B2F">
        <w:t>Anju</w:t>
      </w:r>
      <w:proofErr w:type="spellEnd"/>
      <w:r w:rsidRPr="00315B2F">
        <w:t xml:space="preserve"> </w:t>
      </w:r>
      <w:proofErr w:type="spellStart"/>
      <w:r w:rsidRPr="00315B2F">
        <w:t>Malhotra</w:t>
      </w:r>
      <w:proofErr w:type="spellEnd"/>
      <w:r w:rsidRPr="00315B2F">
        <w:t xml:space="preserve">, </w:t>
      </w:r>
      <w:proofErr w:type="spellStart"/>
      <w:r w:rsidRPr="00315B2F">
        <w:t>Priya</w:t>
      </w:r>
      <w:proofErr w:type="spellEnd"/>
      <w:r w:rsidRPr="00315B2F">
        <w:t xml:space="preserve"> Nanda, and </w:t>
      </w:r>
      <w:proofErr w:type="spellStart"/>
      <w:r w:rsidRPr="00315B2F">
        <w:t>Rekha</w:t>
      </w:r>
      <w:proofErr w:type="spellEnd"/>
      <w:r w:rsidRPr="00315B2F">
        <w:t xml:space="preserve"> </w:t>
      </w:r>
      <w:proofErr w:type="spellStart"/>
      <w:r w:rsidRPr="00315B2F">
        <w:t>Mehra</w:t>
      </w:r>
      <w:proofErr w:type="spellEnd"/>
      <w:r w:rsidRPr="00315B2F">
        <w:t xml:space="preserve">, 2011, </w:t>
      </w:r>
      <w:r w:rsidRPr="00315B2F">
        <w:rPr>
          <w:i/>
        </w:rPr>
        <w:t>Understanding an</w:t>
      </w:r>
      <w:r>
        <w:rPr>
          <w:i/>
        </w:rPr>
        <w:t>d Measuring Women’s Economic Empowerment: Definition, Framework and Indicators</w:t>
      </w:r>
      <w:r>
        <w:t xml:space="preserve">, Washington: International </w:t>
      </w:r>
      <w:proofErr w:type="spellStart"/>
      <w:r>
        <w:t>Center</w:t>
      </w:r>
      <w:proofErr w:type="spellEnd"/>
      <w:r>
        <w:t xml:space="preserve"> for Research on Women</w:t>
      </w:r>
    </w:p>
    <w:p w:rsidR="00E826B8" w:rsidRPr="00E826B8" w:rsidRDefault="00E826B8" w:rsidP="00E826B8">
      <w:pPr>
        <w:pStyle w:val="Bibliography"/>
      </w:pPr>
      <w:r w:rsidRPr="00E826B8">
        <w:t xml:space="preserve">Gonzales, Christian, </w:t>
      </w:r>
      <w:proofErr w:type="spellStart"/>
      <w:r w:rsidRPr="00E826B8">
        <w:t>Sonali</w:t>
      </w:r>
      <w:proofErr w:type="spellEnd"/>
      <w:r w:rsidRPr="00E826B8">
        <w:t xml:space="preserve"> Jain, Chandra, </w:t>
      </w:r>
      <w:proofErr w:type="spellStart"/>
      <w:r w:rsidRPr="00E826B8">
        <w:t>Kalpana</w:t>
      </w:r>
      <w:proofErr w:type="spellEnd"/>
      <w:r w:rsidRPr="00E826B8">
        <w:t xml:space="preserve"> </w:t>
      </w:r>
      <w:proofErr w:type="spellStart"/>
      <w:r w:rsidRPr="00E826B8">
        <w:t>Kochhar</w:t>
      </w:r>
      <w:proofErr w:type="spellEnd"/>
      <w:r w:rsidRPr="00E826B8">
        <w:t xml:space="preserve"> and Monique </w:t>
      </w:r>
      <w:proofErr w:type="spellStart"/>
      <w:r w:rsidRPr="00E826B8">
        <w:t>Newiak</w:t>
      </w:r>
      <w:proofErr w:type="spellEnd"/>
      <w:r w:rsidRPr="00E826B8">
        <w:t xml:space="preserve">, 2015, </w:t>
      </w:r>
      <w:r w:rsidRPr="00F7798F">
        <w:rPr>
          <w:i/>
        </w:rPr>
        <w:t xml:space="preserve">Fair Play: More Equal Laws Boost Female </w:t>
      </w:r>
      <w:proofErr w:type="spellStart"/>
      <w:r w:rsidRPr="00F7798F">
        <w:rPr>
          <w:i/>
        </w:rPr>
        <w:t>Labor</w:t>
      </w:r>
      <w:proofErr w:type="spellEnd"/>
      <w:r w:rsidRPr="00F7798F">
        <w:rPr>
          <w:i/>
        </w:rPr>
        <w:t xml:space="preserve"> Force Participation</w:t>
      </w:r>
      <w:r w:rsidRPr="00E826B8">
        <w:t>, IMF Staff Discussion Note, February 2015, SDN/15/02</w:t>
      </w:r>
    </w:p>
    <w:p w:rsidR="00E826B8" w:rsidRPr="00E826B8" w:rsidRDefault="00E826B8" w:rsidP="00E826B8">
      <w:pPr>
        <w:pStyle w:val="Bibliography"/>
      </w:pPr>
      <w:proofErr w:type="spellStart"/>
      <w:r w:rsidRPr="00E826B8">
        <w:t>Hallwood-Driemeier</w:t>
      </w:r>
      <w:proofErr w:type="spellEnd"/>
      <w:r w:rsidRPr="00E826B8">
        <w:t xml:space="preserve">, Mary, </w:t>
      </w:r>
      <w:proofErr w:type="spellStart"/>
      <w:r w:rsidRPr="00E826B8">
        <w:t>Tazeen</w:t>
      </w:r>
      <w:proofErr w:type="spellEnd"/>
      <w:r w:rsidRPr="00E826B8">
        <w:t xml:space="preserve"> </w:t>
      </w:r>
      <w:proofErr w:type="spellStart"/>
      <w:r w:rsidRPr="00E826B8">
        <w:t>Hasan</w:t>
      </w:r>
      <w:proofErr w:type="spellEnd"/>
      <w:r w:rsidRPr="00E826B8">
        <w:t xml:space="preserve"> and </w:t>
      </w:r>
      <w:proofErr w:type="spellStart"/>
      <w:r w:rsidRPr="00E826B8">
        <w:t>Anca</w:t>
      </w:r>
      <w:proofErr w:type="spellEnd"/>
      <w:r w:rsidRPr="00E826B8">
        <w:t xml:space="preserve"> </w:t>
      </w:r>
      <w:proofErr w:type="spellStart"/>
      <w:r w:rsidRPr="00E826B8">
        <w:t>Bogdana</w:t>
      </w:r>
      <w:proofErr w:type="spellEnd"/>
      <w:r w:rsidRPr="00E826B8">
        <w:t xml:space="preserve"> </w:t>
      </w:r>
      <w:proofErr w:type="spellStart"/>
      <w:r w:rsidRPr="00E826B8">
        <w:t>Rusu</w:t>
      </w:r>
      <w:proofErr w:type="spellEnd"/>
      <w:r w:rsidRPr="00E826B8">
        <w:t xml:space="preserve">, 2013, </w:t>
      </w:r>
      <w:r w:rsidRPr="00F7798F">
        <w:rPr>
          <w:i/>
        </w:rPr>
        <w:t>Women’s Legal Rights over 50 Years: What is the Impact of Reform?</w:t>
      </w:r>
      <w:r w:rsidRPr="00E826B8">
        <w:t>, Finance and Private Sector Development Team, Development Research Group, World Bank, September 2013</w:t>
      </w:r>
    </w:p>
    <w:p w:rsidR="00DD6203" w:rsidRDefault="00DD6203" w:rsidP="00DD6203">
      <w:pPr>
        <w:pStyle w:val="Bibliography"/>
      </w:pPr>
      <w:r w:rsidRPr="00E826B8">
        <w:t>IEG, 2014</w:t>
      </w:r>
      <w:proofErr w:type="gramStart"/>
      <w:r w:rsidRPr="00E826B8">
        <w:t>?,</w:t>
      </w:r>
      <w:proofErr w:type="gramEnd"/>
      <w:r w:rsidRPr="00E826B8">
        <w:t xml:space="preserve"> </w:t>
      </w:r>
      <w:r w:rsidRPr="00F7798F">
        <w:rPr>
          <w:i/>
        </w:rPr>
        <w:t>Investment Climate Reforms: An Independent Evaluation of World Bank Group Support to Reforms of Business Regulations</w:t>
      </w:r>
      <w:r w:rsidRPr="00E826B8">
        <w:t>, World Bank Group</w:t>
      </w:r>
    </w:p>
    <w:p w:rsidR="00EF56E7" w:rsidRPr="00EF56E7" w:rsidRDefault="00EF56E7" w:rsidP="00DD6203">
      <w:pPr>
        <w:pStyle w:val="Bibliography"/>
      </w:pPr>
      <w:proofErr w:type="spellStart"/>
      <w:r>
        <w:t>Rahman</w:t>
      </w:r>
      <w:proofErr w:type="spellEnd"/>
      <w:r>
        <w:t xml:space="preserve">, </w:t>
      </w:r>
      <w:proofErr w:type="spellStart"/>
      <w:r>
        <w:t>Rushidan</w:t>
      </w:r>
      <w:proofErr w:type="spellEnd"/>
      <w:r>
        <w:t xml:space="preserve"> I and </w:t>
      </w:r>
      <w:proofErr w:type="spellStart"/>
      <w:r>
        <w:t>Rizwanul</w:t>
      </w:r>
      <w:proofErr w:type="spellEnd"/>
      <w:r>
        <w:t xml:space="preserve"> Islam, 2013, </w:t>
      </w:r>
      <w:r>
        <w:rPr>
          <w:i/>
        </w:rPr>
        <w:t>Female Labour Force Participation in Bangladesh: Trends, Drivers and Barriers</w:t>
      </w:r>
      <w:r>
        <w:t xml:space="preserve">, New Delhi: ILO, ILO Asia–Pacific Working Paper Series, </w:t>
      </w:r>
      <w:proofErr w:type="gramStart"/>
      <w:r>
        <w:t>October</w:t>
      </w:r>
      <w:proofErr w:type="gramEnd"/>
      <w:r>
        <w:t xml:space="preserve"> 2013</w:t>
      </w:r>
      <w:r w:rsidR="00A95A29">
        <w:t>.</w:t>
      </w:r>
      <w:r>
        <w:t xml:space="preserve"> ISSN: 2227-4391/2227-4405</w:t>
      </w:r>
    </w:p>
    <w:p w:rsidR="00E826B8" w:rsidRPr="00E826B8" w:rsidRDefault="00E826B8" w:rsidP="00E826B8">
      <w:pPr>
        <w:pStyle w:val="Bibliography"/>
      </w:pPr>
      <w:proofErr w:type="spellStart"/>
      <w:r w:rsidRPr="00E826B8">
        <w:t>Samman</w:t>
      </w:r>
      <w:proofErr w:type="spellEnd"/>
      <w:r w:rsidRPr="00E826B8">
        <w:t xml:space="preserve">, Emma, Elizabeth </w:t>
      </w:r>
      <w:proofErr w:type="spellStart"/>
      <w:r w:rsidRPr="00E826B8">
        <w:t>Presler</w:t>
      </w:r>
      <w:proofErr w:type="spellEnd"/>
      <w:r w:rsidRPr="00E826B8">
        <w:t>-Ma</w:t>
      </w:r>
      <w:r w:rsidR="00AE3DC6">
        <w:t>r</w:t>
      </w:r>
      <w:r w:rsidRPr="00E826B8">
        <w:t xml:space="preserve">shall and Nicola Jones, 2016, </w:t>
      </w:r>
      <w:r w:rsidRPr="00F7798F">
        <w:rPr>
          <w:i/>
        </w:rPr>
        <w:t>Women’s Work: Mothers, Children and the Global Healthcare Crisis</w:t>
      </w:r>
      <w:r w:rsidRPr="00E826B8">
        <w:t>, London: ODI, March 2016 (report and policy brief)</w:t>
      </w:r>
    </w:p>
    <w:p w:rsidR="00E826B8" w:rsidRDefault="00E826B8" w:rsidP="00E826B8">
      <w:pPr>
        <w:pStyle w:val="Bibliography"/>
      </w:pPr>
      <w:proofErr w:type="spellStart"/>
      <w:r w:rsidRPr="00E826B8">
        <w:t>Simani</w:t>
      </w:r>
      <w:proofErr w:type="spellEnd"/>
      <w:r w:rsidRPr="00E826B8">
        <w:t xml:space="preserve">, </w:t>
      </w:r>
      <w:proofErr w:type="spellStart"/>
      <w:r w:rsidRPr="00E826B8">
        <w:t>Sevi</w:t>
      </w:r>
      <w:proofErr w:type="spellEnd"/>
      <w:r w:rsidRPr="00E826B8">
        <w:t xml:space="preserve">, Clare Manuel and Mark </w:t>
      </w:r>
      <w:proofErr w:type="spellStart"/>
      <w:r w:rsidRPr="00E826B8">
        <w:t>Blackden</w:t>
      </w:r>
      <w:proofErr w:type="spellEnd"/>
      <w:r w:rsidRPr="00E826B8">
        <w:t xml:space="preserve">, 2010, </w:t>
      </w:r>
      <w:r w:rsidRPr="00F7798F">
        <w:rPr>
          <w:i/>
        </w:rPr>
        <w:t>Gender Dimensions of Business Environment Reform: A Guide for Policy Makers and Practitioners</w:t>
      </w:r>
      <w:r w:rsidRPr="00E826B8">
        <w:t xml:space="preserve">, Washington DC: World Bank. Accessed on 30/5/16 from </w:t>
      </w:r>
      <w:hyperlink r:id="rId13" w:history="1">
        <w:r w:rsidR="00887E94" w:rsidRPr="004A3397">
          <w:rPr>
            <w:rStyle w:val="Hyperlink"/>
          </w:rPr>
          <w:t>https://www.wbginvestmentclimate.org/uploads/Gender%20Dimensions%20of%20Investment%20Climate%20Reform.pdf</w:t>
        </w:r>
      </w:hyperlink>
    </w:p>
    <w:p w:rsidR="00E826B8" w:rsidRPr="00E826B8" w:rsidRDefault="00E826B8" w:rsidP="00E826B8">
      <w:pPr>
        <w:pStyle w:val="Bibliography"/>
      </w:pPr>
      <w:r w:rsidRPr="00E826B8">
        <w:t xml:space="preserve">World Bank Group, 2015, </w:t>
      </w:r>
      <w:r w:rsidRPr="00F7798F">
        <w:rPr>
          <w:i/>
        </w:rPr>
        <w:t>Women, Business and the Law 2016: Getting to Equal</w:t>
      </w:r>
      <w:r w:rsidRPr="00E826B8">
        <w:t>, Washington DC: World Bank. DOI: 10.1596/978-1-4648-0677-3</w:t>
      </w:r>
    </w:p>
    <w:p w:rsidR="00E826B8" w:rsidRDefault="00E826B8" w:rsidP="00E826B8"/>
    <w:p w:rsidR="00E826B8" w:rsidRPr="00E826B8" w:rsidRDefault="00E826B8" w:rsidP="00E826B8"/>
    <w:p w:rsidR="003C1AFB" w:rsidRPr="003C1AFB" w:rsidRDefault="003C1AFB" w:rsidP="003C1AFB">
      <w:pPr>
        <w:pStyle w:val="Heading1"/>
      </w:pPr>
      <w:bookmarkStart w:id="15" w:name="_Toc453752568"/>
      <w:r>
        <w:t>Methodology</w:t>
      </w:r>
      <w:bookmarkEnd w:id="15"/>
    </w:p>
    <w:sectPr w:rsidR="003C1AFB" w:rsidRPr="003C1AFB" w:rsidSect="00807AC0">
      <w:headerReference w:type="default" r:id="rId14"/>
      <w:footerReference w:type="default" r:id="rId15"/>
      <w:pgSz w:w="11906" w:h="16838" w:code="9"/>
      <w:pgMar w:top="1985" w:right="1440" w:bottom="1134" w:left="1440" w:header="851" w:footer="567"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AB2BCB" w15:done="0"/>
  <w15:commentEx w15:paraId="5DBBE795" w15:done="0"/>
  <w15:commentEx w15:paraId="0CB01AFF" w15:done="0"/>
  <w15:commentEx w15:paraId="5B085046" w15:done="0"/>
  <w15:commentEx w15:paraId="68FC6AA3" w15:done="0"/>
  <w15:commentEx w15:paraId="3693ED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6DE2" w:rsidRDefault="00596DE2" w:rsidP="00074D5A">
      <w:pPr>
        <w:spacing w:after="0"/>
      </w:pPr>
      <w:r>
        <w:separator/>
      </w:r>
    </w:p>
  </w:endnote>
  <w:endnote w:type="continuationSeparator" w:id="0">
    <w:p w:rsidR="00596DE2" w:rsidRDefault="00596DE2" w:rsidP="00074D5A">
      <w:pPr>
        <w:spacing w:after="0"/>
      </w:pPr>
      <w:r>
        <w:continuationSeparator/>
      </w:r>
    </w:p>
  </w:endnote>
  <w:endnote w:type="continuationNotice" w:id="1">
    <w:p w:rsidR="00596DE2" w:rsidRDefault="00596DE2">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5 Light">
    <w:altName w:val="Univers 45 Light"/>
    <w:charset w:val="00"/>
    <w:family w:val="auto"/>
    <w:pitch w:val="variable"/>
    <w:sig w:usb0="8000002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3084792"/>
      <w:docPartObj>
        <w:docPartGallery w:val="Page Numbers (Bottom of Page)"/>
        <w:docPartUnique/>
      </w:docPartObj>
    </w:sdtPr>
    <w:sdtEndPr>
      <w:rPr>
        <w:noProof/>
      </w:rPr>
    </w:sdtEndPr>
    <w:sdtContent>
      <w:p w:rsidR="00C04E8B" w:rsidRDefault="00C04E8B">
        <w:pPr>
          <w:pStyle w:val="Footer"/>
          <w:jc w:val="right"/>
        </w:pPr>
        <w:fldSimple w:instr=" PAGE   \* MERGEFORMAT ">
          <w:r w:rsidR="007654DB">
            <w:rPr>
              <w:noProof/>
            </w:rPr>
            <w:t>7</w:t>
          </w:r>
        </w:fldSimple>
      </w:p>
    </w:sdtContent>
  </w:sdt>
  <w:p w:rsidR="00C04E8B" w:rsidRDefault="00C04E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6DE2" w:rsidRDefault="00596DE2" w:rsidP="00074D5A">
      <w:pPr>
        <w:spacing w:after="0"/>
      </w:pPr>
      <w:r>
        <w:separator/>
      </w:r>
    </w:p>
  </w:footnote>
  <w:footnote w:type="continuationSeparator" w:id="0">
    <w:p w:rsidR="00596DE2" w:rsidRDefault="00596DE2" w:rsidP="00074D5A">
      <w:pPr>
        <w:spacing w:after="0"/>
      </w:pPr>
      <w:r>
        <w:continuationSeparator/>
      </w:r>
    </w:p>
  </w:footnote>
  <w:footnote w:type="continuationNotice" w:id="1">
    <w:p w:rsidR="00596DE2" w:rsidRDefault="00596DE2">
      <w:pPr>
        <w:spacing w:after="0"/>
      </w:pPr>
    </w:p>
  </w:footnote>
  <w:footnote w:id="2">
    <w:p w:rsidR="00C04E8B" w:rsidRDefault="00C04E8B" w:rsidP="00C04E8B">
      <w:pPr>
        <w:pStyle w:val="FootnoteText"/>
      </w:pPr>
      <w:r>
        <w:rPr>
          <w:rStyle w:val="FootnoteReference"/>
        </w:rPr>
        <w:footnoteRef/>
      </w:r>
      <w:r>
        <w:t xml:space="preserve"> </w:t>
      </w:r>
      <w:proofErr w:type="gramStart"/>
      <w:r>
        <w:t>IEG, 2014, p45.</w:t>
      </w:r>
      <w:proofErr w:type="gramEnd"/>
    </w:p>
  </w:footnote>
  <w:footnote w:id="3">
    <w:p w:rsidR="00C04E8B" w:rsidRPr="003A0D16" w:rsidRDefault="00C04E8B" w:rsidP="006D7D5E">
      <w:pPr>
        <w:pStyle w:val="FootnoteText"/>
        <w:rPr>
          <w:rFonts w:ascii="Arial" w:hAnsi="Arial" w:cs="Arial"/>
          <w:sz w:val="16"/>
        </w:rPr>
      </w:pPr>
      <w:r>
        <w:rPr>
          <w:rStyle w:val="FootnoteReference"/>
        </w:rPr>
        <w:footnoteRef/>
      </w:r>
      <w:r>
        <w:t xml:space="preserve"> </w:t>
      </w:r>
      <w:r w:rsidRPr="003A0D16">
        <w:rPr>
          <w:rFonts w:ascii="Arial" w:hAnsi="Arial" w:cs="Arial"/>
          <w:sz w:val="16"/>
        </w:rPr>
        <w:t>See pp 14–5.</w:t>
      </w:r>
    </w:p>
  </w:footnote>
  <w:footnote w:id="4">
    <w:p w:rsidR="00C04E8B" w:rsidRPr="003A0D16" w:rsidRDefault="00C04E8B">
      <w:pPr>
        <w:pStyle w:val="FootnoteText"/>
        <w:rPr>
          <w:rFonts w:ascii="Arial" w:hAnsi="Arial" w:cs="Arial"/>
          <w:sz w:val="16"/>
        </w:rPr>
      </w:pPr>
      <w:r>
        <w:rPr>
          <w:rStyle w:val="FootnoteReference"/>
        </w:rPr>
        <w:footnoteRef/>
      </w:r>
      <w:r>
        <w:t xml:space="preserve"> </w:t>
      </w:r>
      <w:proofErr w:type="gramStart"/>
      <w:r w:rsidRPr="003A0D16">
        <w:rPr>
          <w:rFonts w:ascii="Arial" w:hAnsi="Arial" w:cs="Arial"/>
          <w:sz w:val="16"/>
        </w:rPr>
        <w:t>IEG, 2014, pp140–1.</w:t>
      </w:r>
      <w:proofErr w:type="gramEnd"/>
    </w:p>
  </w:footnote>
  <w:footnote w:id="5">
    <w:p w:rsidR="00C04E8B" w:rsidRDefault="00C04E8B">
      <w:pPr>
        <w:pStyle w:val="FootnoteText"/>
      </w:pPr>
      <w:r w:rsidRPr="003A0D16">
        <w:rPr>
          <w:rStyle w:val="FootnoteReference"/>
          <w:rFonts w:ascii="Arial" w:hAnsi="Arial" w:cs="Arial"/>
          <w:sz w:val="16"/>
        </w:rPr>
        <w:footnoteRef/>
      </w:r>
      <w:r w:rsidRPr="003A0D16">
        <w:rPr>
          <w:rFonts w:ascii="Arial" w:hAnsi="Arial" w:cs="Arial"/>
          <w:sz w:val="16"/>
        </w:rPr>
        <w:t xml:space="preserve"> E.g. in South Africa, see </w:t>
      </w:r>
      <w:proofErr w:type="spellStart"/>
      <w:r w:rsidRPr="003A0D16">
        <w:rPr>
          <w:rFonts w:ascii="Arial" w:hAnsi="Arial" w:cs="Arial"/>
          <w:sz w:val="16"/>
        </w:rPr>
        <w:t>Samman</w:t>
      </w:r>
      <w:proofErr w:type="spellEnd"/>
      <w:r w:rsidRPr="003A0D16">
        <w:rPr>
          <w:rFonts w:ascii="Arial" w:hAnsi="Arial" w:cs="Arial"/>
          <w:sz w:val="16"/>
        </w:rPr>
        <w:t xml:space="preserve"> et al, 2016, p70.</w:t>
      </w:r>
    </w:p>
  </w:footnote>
  <w:footnote w:id="6">
    <w:p w:rsidR="00C04E8B" w:rsidRPr="004E69A3" w:rsidRDefault="00C04E8B">
      <w:pPr>
        <w:pStyle w:val="FootnoteText"/>
        <w:rPr>
          <w:rFonts w:ascii="Arial" w:hAnsi="Arial" w:cs="Arial"/>
          <w:sz w:val="16"/>
        </w:rPr>
      </w:pPr>
      <w:r>
        <w:rPr>
          <w:rStyle w:val="FootnoteReference"/>
        </w:rPr>
        <w:footnoteRef/>
      </w:r>
      <w:r>
        <w:t xml:space="preserve"> </w:t>
      </w:r>
      <w:r w:rsidRPr="004E69A3">
        <w:rPr>
          <w:rFonts w:ascii="Arial" w:hAnsi="Arial" w:cs="Arial"/>
          <w:sz w:val="16"/>
        </w:rPr>
        <w:t>World Bank Group, 2015, p17.</w:t>
      </w:r>
    </w:p>
  </w:footnote>
  <w:footnote w:id="7">
    <w:p w:rsidR="00C04E8B" w:rsidRPr="004E69A3" w:rsidRDefault="00C04E8B">
      <w:pPr>
        <w:pStyle w:val="FootnoteText"/>
        <w:rPr>
          <w:rFonts w:ascii="Arial" w:hAnsi="Arial" w:cs="Arial"/>
          <w:sz w:val="16"/>
        </w:rPr>
      </w:pPr>
      <w:r w:rsidRPr="004E69A3">
        <w:rPr>
          <w:rStyle w:val="FootnoteReference"/>
          <w:rFonts w:ascii="Arial" w:hAnsi="Arial" w:cs="Arial"/>
          <w:sz w:val="16"/>
        </w:rPr>
        <w:footnoteRef/>
      </w:r>
      <w:r w:rsidRPr="004E69A3">
        <w:rPr>
          <w:rFonts w:ascii="Arial" w:hAnsi="Arial" w:cs="Arial"/>
          <w:sz w:val="16"/>
        </w:rPr>
        <w:t xml:space="preserve"> </w:t>
      </w:r>
      <w:r w:rsidRPr="00310C8E">
        <w:rPr>
          <w:rFonts w:ascii="Arial" w:hAnsi="Arial" w:cs="Arial"/>
          <w:sz w:val="16"/>
        </w:rPr>
        <w:t>Estancias Infantiles para Apoyar a Madres Trabajadores</w:t>
      </w:r>
      <w:r w:rsidRPr="004E69A3">
        <w:rPr>
          <w:rFonts w:ascii="Arial" w:hAnsi="Arial" w:cs="Arial"/>
          <w:sz w:val="16"/>
        </w:rPr>
        <w:t xml:space="preserve">, see for instance </w:t>
      </w:r>
      <w:proofErr w:type="spellStart"/>
      <w:r w:rsidRPr="004E69A3">
        <w:rPr>
          <w:rFonts w:ascii="Arial" w:hAnsi="Arial" w:cs="Arial"/>
          <w:sz w:val="16"/>
        </w:rPr>
        <w:t>Samman</w:t>
      </w:r>
      <w:proofErr w:type="spellEnd"/>
      <w:r w:rsidRPr="004E69A3">
        <w:rPr>
          <w:rFonts w:ascii="Arial" w:hAnsi="Arial" w:cs="Arial"/>
          <w:sz w:val="16"/>
        </w:rPr>
        <w:t xml:space="preserve"> et al, 2016, p72.</w:t>
      </w:r>
    </w:p>
  </w:footnote>
  <w:footnote w:id="8">
    <w:p w:rsidR="00C04E8B" w:rsidRPr="004E69A3" w:rsidRDefault="00C04E8B">
      <w:pPr>
        <w:pStyle w:val="FootnoteText"/>
        <w:rPr>
          <w:rFonts w:ascii="Arial" w:hAnsi="Arial" w:cs="Arial"/>
          <w:sz w:val="16"/>
        </w:rPr>
      </w:pPr>
      <w:r w:rsidRPr="004E69A3">
        <w:rPr>
          <w:rStyle w:val="FootnoteReference"/>
          <w:rFonts w:ascii="Arial" w:hAnsi="Arial" w:cs="Arial"/>
          <w:sz w:val="16"/>
        </w:rPr>
        <w:footnoteRef/>
      </w:r>
      <w:r w:rsidRPr="004E69A3">
        <w:rPr>
          <w:rFonts w:ascii="Arial" w:hAnsi="Arial" w:cs="Arial"/>
          <w:sz w:val="16"/>
        </w:rPr>
        <w:t xml:space="preserve"> This statistic is misreported in the ODI policy brief; the correct figure can be found in the full report.</w:t>
      </w:r>
    </w:p>
  </w:footnote>
  <w:footnote w:id="9">
    <w:p w:rsidR="00C04E8B" w:rsidRPr="004E69A3" w:rsidRDefault="00C04E8B" w:rsidP="004E5517">
      <w:pPr>
        <w:pStyle w:val="FootnoteText"/>
        <w:rPr>
          <w:rFonts w:ascii="Arial" w:hAnsi="Arial" w:cs="Arial"/>
          <w:sz w:val="16"/>
        </w:rPr>
      </w:pPr>
      <w:r w:rsidRPr="004E69A3">
        <w:rPr>
          <w:rStyle w:val="FootnoteReference"/>
          <w:rFonts w:ascii="Arial" w:hAnsi="Arial" w:cs="Arial"/>
          <w:sz w:val="16"/>
        </w:rPr>
        <w:footnoteRef/>
      </w:r>
      <w:r w:rsidRPr="004E69A3">
        <w:rPr>
          <w:rFonts w:ascii="Arial" w:hAnsi="Arial" w:cs="Arial"/>
          <w:sz w:val="16"/>
        </w:rPr>
        <w:t xml:space="preserve"> “In Uganda, research has shown that well-intentioned labour reform to provide two months maternity leave (one month paid) would have been prohibitive for many smaller employers and would have discouraged them from hiring women of child bearing age.” (</w:t>
      </w:r>
      <w:proofErr w:type="spellStart"/>
      <w:r w:rsidRPr="004E69A3">
        <w:rPr>
          <w:rFonts w:ascii="Arial" w:hAnsi="Arial" w:cs="Arial"/>
          <w:sz w:val="16"/>
        </w:rPr>
        <w:t>Simani</w:t>
      </w:r>
      <w:proofErr w:type="spellEnd"/>
      <w:r w:rsidRPr="004E69A3">
        <w:rPr>
          <w:rFonts w:ascii="Arial" w:hAnsi="Arial" w:cs="Arial"/>
          <w:sz w:val="16"/>
        </w:rPr>
        <w:t>, 2010, p192)</w:t>
      </w:r>
    </w:p>
  </w:footnote>
  <w:footnote w:id="10">
    <w:p w:rsidR="00C04E8B" w:rsidRDefault="00C04E8B">
      <w:pPr>
        <w:pStyle w:val="FootnoteText"/>
      </w:pPr>
      <w:r>
        <w:rPr>
          <w:rStyle w:val="FootnoteReference"/>
        </w:rPr>
        <w:footnoteRef/>
      </w:r>
      <w:r>
        <w:t xml:space="preserve"> </w:t>
      </w:r>
      <w:proofErr w:type="spellStart"/>
      <w:r>
        <w:t>Samman</w:t>
      </w:r>
      <w:proofErr w:type="spellEnd"/>
      <w:r>
        <w:t xml:space="preserve"> et al, 2016, p70</w:t>
      </w:r>
    </w:p>
  </w:footnote>
  <w:footnote w:id="11">
    <w:p w:rsidR="00C04E8B" w:rsidRPr="004E69A3" w:rsidRDefault="00C04E8B" w:rsidP="00956A41">
      <w:pPr>
        <w:pStyle w:val="FootnoteText"/>
        <w:rPr>
          <w:rFonts w:ascii="Arial" w:hAnsi="Arial" w:cs="Arial"/>
          <w:sz w:val="16"/>
        </w:rPr>
      </w:pPr>
      <w:r w:rsidRPr="004E69A3">
        <w:rPr>
          <w:rStyle w:val="FootnoteReference"/>
          <w:rFonts w:ascii="Arial" w:hAnsi="Arial" w:cs="Arial"/>
          <w:sz w:val="16"/>
        </w:rPr>
        <w:footnoteRef/>
      </w:r>
      <w:r w:rsidRPr="004E69A3">
        <w:rPr>
          <w:rFonts w:ascii="Arial" w:hAnsi="Arial" w:cs="Arial"/>
          <w:sz w:val="16"/>
        </w:rPr>
        <w:t xml:space="preserve"> Gender-Responsive Economic Actions for the Transformation of Women, </w:t>
      </w:r>
      <w:hyperlink r:id="rId1" w:history="1">
        <w:r w:rsidRPr="004E69A3">
          <w:rPr>
            <w:rStyle w:val="Hyperlink"/>
            <w:rFonts w:ascii="Arial" w:hAnsi="Arial" w:cs="Arial"/>
            <w:sz w:val="16"/>
          </w:rPr>
          <w:t>http://www.pcw.gov.ph/gwp/</w:t>
        </w:r>
      </w:hyperlink>
      <w:r w:rsidRPr="004E69A3">
        <w:rPr>
          <w:rFonts w:ascii="Arial" w:hAnsi="Arial" w:cs="Arial"/>
          <w:sz w:val="16"/>
        </w:rPr>
        <w:t>.</w:t>
      </w:r>
      <w:r>
        <w:rPr>
          <w:rFonts w:ascii="Arial" w:hAnsi="Arial" w:cs="Arial"/>
          <w:sz w:val="16"/>
        </w:rPr>
        <w:t xml:space="preserve"> </w:t>
      </w:r>
      <w:r w:rsidRPr="004E69A3">
        <w:rPr>
          <w:rFonts w:ascii="Arial" w:hAnsi="Arial" w:cs="Arial"/>
          <w:sz w:val="16"/>
        </w:rPr>
        <w:t>In this instance beneficiaries raised the issue that national health insurance was not available to female-headed households, which the programme addressed and then expanded nationally.</w:t>
      </w:r>
    </w:p>
  </w:footnote>
  <w:footnote w:id="12">
    <w:p w:rsidR="00C04E8B" w:rsidRPr="004E69A3" w:rsidRDefault="00C04E8B">
      <w:pPr>
        <w:pStyle w:val="FootnoteText"/>
        <w:rPr>
          <w:rFonts w:ascii="Arial" w:hAnsi="Arial" w:cs="Arial"/>
          <w:sz w:val="16"/>
        </w:rPr>
      </w:pPr>
      <w:r w:rsidRPr="004E69A3">
        <w:rPr>
          <w:rStyle w:val="FootnoteReference"/>
          <w:rFonts w:ascii="Arial" w:hAnsi="Arial" w:cs="Arial"/>
          <w:sz w:val="16"/>
        </w:rPr>
        <w:footnoteRef/>
      </w:r>
      <w:r w:rsidRPr="004E69A3">
        <w:rPr>
          <w:rFonts w:ascii="Arial" w:hAnsi="Arial" w:cs="Arial"/>
          <w:sz w:val="16"/>
        </w:rPr>
        <w:t xml:space="preserve"> Alliances Lesser Caucasus Programme, http://alcp.ge/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E8B" w:rsidRDefault="00C04E8B" w:rsidP="00D914CF">
    <w:pPr>
      <w:pStyle w:val="Header"/>
      <w:spacing w:before="0" w:line="240" w:lineRule="auto"/>
      <w:ind w:firstLine="2160"/>
      <w:jc w:val="right"/>
      <w:rPr>
        <w:color w:val="2E74B5" w:themeColor="accent1" w:themeShade="BF"/>
        <w:szCs w:val="20"/>
      </w:rPr>
    </w:pPr>
    <w:r w:rsidRPr="001016E5">
      <w:rPr>
        <w:noProof/>
        <w:color w:val="2E74B5" w:themeColor="accent1" w:themeShade="BF"/>
        <w:szCs w:val="20"/>
        <w:lang w:eastAsia="en-GB"/>
      </w:rPr>
      <w:drawing>
        <wp:anchor distT="0" distB="0" distL="114300" distR="114300" simplePos="0" relativeHeight="251658240" behindDoc="1" locked="0" layoutInCell="1" allowOverlap="1">
          <wp:simplePos x="0" y="0"/>
          <wp:positionH relativeFrom="margin">
            <wp:posOffset>-69011</wp:posOffset>
          </wp:positionH>
          <wp:positionV relativeFrom="paragraph">
            <wp:posOffset>-245110</wp:posOffset>
          </wp:positionV>
          <wp:extent cx="1129086" cy="734573"/>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903" t="13739" r="17564" b="21775"/>
                  <a:stretch/>
                </pic:blipFill>
                <pic:spPr bwMode="auto">
                  <a:xfrm>
                    <a:off x="0" y="0"/>
                    <a:ext cx="1129086" cy="73457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color w:val="2E74B5" w:themeColor="accent1" w:themeShade="BF"/>
        <w:szCs w:val="20"/>
      </w:rPr>
      <w:t>Evidence and Learning Note on Gender and Business Environment</w:t>
    </w:r>
  </w:p>
  <w:p w:rsidR="00C04E8B" w:rsidRDefault="00C04E8B" w:rsidP="00B86087">
    <w:pPr>
      <w:pStyle w:val="Header"/>
      <w:jc w:val="right"/>
      <w:rPr>
        <w:color w:val="2E74B5" w:themeColor="accent1" w:themeShade="BF"/>
        <w:szCs w:val="20"/>
      </w:rPr>
    </w:pPr>
    <w:r>
      <w:rPr>
        <w:color w:val="2E74B5" w:themeColor="accent1" w:themeShade="BF"/>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B4E62"/>
    <w:multiLevelType w:val="hybridMultilevel"/>
    <w:tmpl w:val="BB7E5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CB0385"/>
    <w:multiLevelType w:val="hybridMultilevel"/>
    <w:tmpl w:val="4DE253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9F82712"/>
    <w:multiLevelType w:val="hybridMultilevel"/>
    <w:tmpl w:val="126AC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99352C"/>
    <w:multiLevelType w:val="hybridMultilevel"/>
    <w:tmpl w:val="3738C2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39410A"/>
    <w:multiLevelType w:val="hybridMultilevel"/>
    <w:tmpl w:val="CC020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3168A1"/>
    <w:multiLevelType w:val="hybridMultilevel"/>
    <w:tmpl w:val="8FF63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026C98"/>
    <w:multiLevelType w:val="hybridMultilevel"/>
    <w:tmpl w:val="D5C8106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96216A"/>
    <w:multiLevelType w:val="hybridMultilevel"/>
    <w:tmpl w:val="18362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7DB3A13"/>
    <w:multiLevelType w:val="multilevel"/>
    <w:tmpl w:val="FACCEED6"/>
    <w:lvl w:ilvl="0">
      <w:start w:val="1"/>
      <w:numFmt w:val="decimal"/>
      <w:pStyle w:val="Termslevel1"/>
      <w:lvlText w:val="%1"/>
      <w:lvlJc w:val="left"/>
      <w:pPr>
        <w:ind w:left="360" w:hanging="360"/>
      </w:pPr>
      <w:rPr>
        <w:rFonts w:hint="default"/>
        <w:b/>
        <w:i w:val="0"/>
        <w:color w:val="auto"/>
        <w:sz w:val="17"/>
      </w:rPr>
    </w:lvl>
    <w:lvl w:ilvl="1">
      <w:start w:val="1"/>
      <w:numFmt w:val="decimal"/>
      <w:pStyle w:val="Termslevel2"/>
      <w:lvlText w:val="%1.%2"/>
      <w:lvlJc w:val="left"/>
      <w:pPr>
        <w:tabs>
          <w:tab w:val="num" w:pos="340"/>
        </w:tabs>
        <w:ind w:left="340" w:hanging="340"/>
      </w:pPr>
      <w:rPr>
        <w:rFonts w:ascii="Univers 45 Light" w:hAnsi="Univers 45 Light" w:hint="default"/>
        <w:b w:val="0"/>
        <w:i w:val="0"/>
        <w:color w:val="auto"/>
        <w:sz w:val="14"/>
      </w:rPr>
    </w:lvl>
    <w:lvl w:ilvl="2">
      <w:start w:val="1"/>
      <w:numFmt w:val="decimal"/>
      <w:pStyle w:val="Termslevel3"/>
      <w:lvlText w:val="%1.%2.%3"/>
      <w:lvlJc w:val="left"/>
      <w:pPr>
        <w:tabs>
          <w:tab w:val="num" w:pos="737"/>
        </w:tabs>
        <w:ind w:left="737" w:hanging="397"/>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9">
    <w:nsid w:val="2AAF2408"/>
    <w:multiLevelType w:val="hybridMultilevel"/>
    <w:tmpl w:val="FA98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A85B17"/>
    <w:multiLevelType w:val="hybridMultilevel"/>
    <w:tmpl w:val="915E3D04"/>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30480810"/>
    <w:multiLevelType w:val="hybridMultilevel"/>
    <w:tmpl w:val="DC600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666F45"/>
    <w:multiLevelType w:val="multilevel"/>
    <w:tmpl w:val="4164FDCA"/>
    <w:lvl w:ilvl="0">
      <w:start w:val="1"/>
      <w:numFmt w:val="decimal"/>
      <w:pStyle w:val="Bulletnumb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7CC4C3B"/>
    <w:multiLevelType w:val="hybridMultilevel"/>
    <w:tmpl w:val="C43CCAB4"/>
    <w:lvl w:ilvl="0" w:tplc="EACC1C00">
      <w:start w:val="1"/>
      <w:numFmt w:val="decimal"/>
      <w:pStyle w:val="Numbering"/>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3959524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FB71D6A"/>
    <w:multiLevelType w:val="multilevel"/>
    <w:tmpl w:val="54C8E490"/>
    <w:lvl w:ilvl="0">
      <w:start w:val="1"/>
      <w:numFmt w:val="decimal"/>
      <w:pStyle w:val="Heading1"/>
      <w:lvlText w:val="%1."/>
      <w:lvlJc w:val="left"/>
      <w:pPr>
        <w:ind w:left="360" w:hanging="360"/>
      </w:pPr>
      <w:rPr>
        <w:rFonts w:ascii="Arial" w:hAnsi="Arial" w:hint="default"/>
        <w:b/>
        <w:i w:val="0"/>
        <w:caps w:val="0"/>
        <w:strike w:val="0"/>
        <w:dstrike w:val="0"/>
        <w:vanish w:val="0"/>
        <w:sz w:val="22"/>
        <w:vertAlign w:val="baseli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0F81E32"/>
    <w:multiLevelType w:val="hybridMultilevel"/>
    <w:tmpl w:val="A8B4A704"/>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481F0326"/>
    <w:multiLevelType w:val="hybridMultilevel"/>
    <w:tmpl w:val="F648CF96"/>
    <w:lvl w:ilvl="0" w:tplc="04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9550629"/>
    <w:multiLevelType w:val="hybridMultilevel"/>
    <w:tmpl w:val="EF82E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0A493B"/>
    <w:multiLevelType w:val="hybridMultilevel"/>
    <w:tmpl w:val="2486A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DEE77FB"/>
    <w:multiLevelType w:val="hybridMultilevel"/>
    <w:tmpl w:val="48E04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0F57D07"/>
    <w:multiLevelType w:val="hybridMultilevel"/>
    <w:tmpl w:val="9E500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B5A5188"/>
    <w:multiLevelType w:val="hybridMultilevel"/>
    <w:tmpl w:val="31B42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E483E26"/>
    <w:multiLevelType w:val="hybridMultilevel"/>
    <w:tmpl w:val="E5BC172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4">
    <w:nsid w:val="5FB85D00"/>
    <w:multiLevelType w:val="hybridMultilevel"/>
    <w:tmpl w:val="208A9086"/>
    <w:lvl w:ilvl="0" w:tplc="08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604E4956"/>
    <w:multiLevelType w:val="hybridMultilevel"/>
    <w:tmpl w:val="62E08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926CF4"/>
    <w:multiLevelType w:val="multilevel"/>
    <w:tmpl w:val="458A0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1C46EE9"/>
    <w:multiLevelType w:val="hybridMultilevel"/>
    <w:tmpl w:val="7A601F86"/>
    <w:lvl w:ilvl="0" w:tplc="04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66504DB8"/>
    <w:multiLevelType w:val="hybridMultilevel"/>
    <w:tmpl w:val="CDD2AEA2"/>
    <w:lvl w:ilvl="0" w:tplc="2F5677E4">
      <w:start w:val="1"/>
      <w:numFmt w:val="bullet"/>
      <w:pStyle w:val="Bullets"/>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72708FB"/>
    <w:multiLevelType w:val="multilevel"/>
    <w:tmpl w:val="FBDCDAFE"/>
    <w:lvl w:ilvl="0">
      <w:start w:val="1"/>
      <w:numFmt w:val="bullet"/>
      <w:pStyle w:val="Bullet"/>
      <w:lvlText w:val=""/>
      <w:lvlJc w:val="left"/>
      <w:pPr>
        <w:ind w:left="284" w:hanging="284"/>
      </w:pPr>
      <w:rPr>
        <w:rFonts w:ascii="Symbol" w:hAnsi="Symbol" w:hint="default"/>
        <w:color w:val="FFC000" w:themeColor="accent4"/>
        <w:sz w:val="24"/>
      </w:rPr>
    </w:lvl>
    <w:lvl w:ilvl="1">
      <w:start w:val="1"/>
      <w:numFmt w:val="bullet"/>
      <w:lvlText w:val="–"/>
      <w:lvlJc w:val="left"/>
      <w:pPr>
        <w:ind w:left="567" w:hanging="283"/>
      </w:pPr>
      <w:rPr>
        <w:rFonts w:ascii="Arial" w:hAnsi="Arial" w:hint="default"/>
        <w:color w:val="ED7D31"/>
      </w:rPr>
    </w:lvl>
    <w:lvl w:ilvl="2">
      <w:start w:val="1"/>
      <w:numFmt w:val="bullet"/>
      <w:lvlRestart w:val="1"/>
      <w:lvlText w:val=""/>
      <w:lvlJc w:val="left"/>
      <w:pPr>
        <w:tabs>
          <w:tab w:val="num" w:pos="851"/>
        </w:tabs>
        <w:ind w:left="851" w:hanging="284"/>
      </w:pPr>
      <w:rPr>
        <w:rFonts w:ascii="Symbol" w:hAnsi="Symbol" w:hint="default"/>
        <w:color w:val="ED7D31"/>
        <w:sz w:val="24"/>
      </w:rPr>
    </w:lvl>
    <w:lvl w:ilvl="3">
      <w:start w:val="1"/>
      <w:numFmt w:val="bullet"/>
      <w:lvlText w:val="–"/>
      <w:lvlJc w:val="left"/>
      <w:pPr>
        <w:ind w:left="1134" w:hanging="283"/>
      </w:pPr>
      <w:rPr>
        <w:rFonts w:ascii="Arial" w:hAnsi="Arial" w:hint="default"/>
        <w:color w:val="ED7D31"/>
      </w:rPr>
    </w:lvl>
    <w:lvl w:ilvl="4">
      <w:start w:val="1"/>
      <w:numFmt w:val="bullet"/>
      <w:lvlText w:val=""/>
      <w:lvlJc w:val="left"/>
      <w:pPr>
        <w:ind w:left="1418" w:hanging="284"/>
      </w:pPr>
      <w:rPr>
        <w:rFonts w:ascii="Symbol" w:hAnsi="Symbol" w:hint="default"/>
        <w:color w:val="ED7D31"/>
        <w:sz w:val="24"/>
      </w:rPr>
    </w:lvl>
    <w:lvl w:ilvl="5">
      <w:start w:val="1"/>
      <w:numFmt w:val="bullet"/>
      <w:lvlText w:val="–"/>
      <w:lvlJc w:val="left"/>
      <w:pPr>
        <w:ind w:left="1701" w:hanging="283"/>
      </w:pPr>
      <w:rPr>
        <w:rFonts w:ascii="Arial" w:hAnsi="Arial" w:hint="default"/>
        <w:color w:val="ED7D31"/>
      </w:rPr>
    </w:lvl>
    <w:lvl w:ilvl="6">
      <w:start w:val="1"/>
      <w:numFmt w:val="bullet"/>
      <w:lvlText w:val=""/>
      <w:lvlJc w:val="left"/>
      <w:pPr>
        <w:ind w:left="1985" w:hanging="284"/>
      </w:pPr>
      <w:rPr>
        <w:rFonts w:ascii="Symbol" w:hAnsi="Symbol" w:hint="default"/>
        <w:color w:val="ED7D31"/>
      </w:rPr>
    </w:lvl>
    <w:lvl w:ilvl="7">
      <w:start w:val="1"/>
      <w:numFmt w:val="bullet"/>
      <w:lvlText w:val="o"/>
      <w:lvlJc w:val="left"/>
      <w:pPr>
        <w:ind w:left="2634" w:hanging="362"/>
      </w:pPr>
      <w:rPr>
        <w:rFonts w:ascii="Courier New" w:hAnsi="Courier New" w:hint="default"/>
        <w:color w:val="ED7D31"/>
      </w:rPr>
    </w:lvl>
    <w:lvl w:ilvl="8">
      <w:start w:val="1"/>
      <w:numFmt w:val="bullet"/>
      <w:lvlText w:val=""/>
      <w:lvlJc w:val="left"/>
      <w:pPr>
        <w:ind w:left="2918" w:hanging="362"/>
      </w:pPr>
      <w:rPr>
        <w:rFonts w:ascii="Wingdings" w:hAnsi="Wingdings" w:hint="default"/>
        <w:color w:val="ED7D31"/>
      </w:rPr>
    </w:lvl>
  </w:abstractNum>
  <w:abstractNum w:abstractNumId="30">
    <w:nsid w:val="6A214408"/>
    <w:multiLevelType w:val="hybridMultilevel"/>
    <w:tmpl w:val="752479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73652774"/>
    <w:multiLevelType w:val="hybridMultilevel"/>
    <w:tmpl w:val="ED8A49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603936"/>
    <w:multiLevelType w:val="hybridMultilevel"/>
    <w:tmpl w:val="38BCF4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79946426"/>
    <w:multiLevelType w:val="hybridMultilevel"/>
    <w:tmpl w:val="7E82A1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8"/>
  </w:num>
  <w:num w:numId="3">
    <w:abstractNumId w:val="13"/>
  </w:num>
  <w:num w:numId="4">
    <w:abstractNumId w:val="1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num>
  <w:num w:numId="7">
    <w:abstractNumId w:val="26"/>
  </w:num>
  <w:num w:numId="8">
    <w:abstractNumId w:val="15"/>
  </w:num>
  <w:num w:numId="9">
    <w:abstractNumId w:val="22"/>
  </w:num>
  <w:num w:numId="10">
    <w:abstractNumId w:val="7"/>
  </w:num>
  <w:num w:numId="11">
    <w:abstractNumId w:val="32"/>
  </w:num>
  <w:num w:numId="12">
    <w:abstractNumId w:val="1"/>
  </w:num>
  <w:num w:numId="13">
    <w:abstractNumId w:val="19"/>
  </w:num>
  <w:num w:numId="14">
    <w:abstractNumId w:val="13"/>
    <w:lvlOverride w:ilvl="0">
      <w:startOverride w:val="1"/>
    </w:lvlOverride>
  </w:num>
  <w:num w:numId="15">
    <w:abstractNumId w:val="2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31"/>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6"/>
  </w:num>
  <w:num w:numId="23">
    <w:abstractNumId w:val="27"/>
  </w:num>
  <w:num w:numId="24">
    <w:abstractNumId w:val="17"/>
  </w:num>
  <w:num w:numId="25">
    <w:abstractNumId w:val="24"/>
  </w:num>
  <w:num w:numId="26">
    <w:abstractNumId w:val="13"/>
  </w:num>
  <w:num w:numId="27">
    <w:abstractNumId w:val="13"/>
  </w:num>
  <w:num w:numId="28">
    <w:abstractNumId w:val="13"/>
  </w:num>
  <w:num w:numId="29">
    <w:abstractNumId w:val="20"/>
  </w:num>
  <w:num w:numId="30">
    <w:abstractNumId w:val="0"/>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23"/>
  </w:num>
  <w:num w:numId="34">
    <w:abstractNumId w:val="21"/>
  </w:num>
  <w:num w:numId="35">
    <w:abstractNumId w:val="18"/>
  </w:num>
  <w:num w:numId="36">
    <w:abstractNumId w:val="5"/>
  </w:num>
  <w:num w:numId="37">
    <w:abstractNumId w:val="4"/>
  </w:num>
  <w:num w:numId="38">
    <w:abstractNumId w:val="11"/>
  </w:num>
  <w:num w:numId="39">
    <w:abstractNumId w:val="3"/>
  </w:num>
  <w:num w:numId="40">
    <w:abstractNumId w:val="33"/>
  </w:num>
  <w:num w:numId="41">
    <w:abstractNumId w:val="9"/>
  </w:num>
  <w:num w:numId="42">
    <w:abstractNumId w:val="2"/>
  </w:num>
  <w:num w:numId="43">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onn O'Sullivan">
    <w15:presenceInfo w15:providerId="AD" w15:userId="S-1-5-21-1440998506-3432950280-1416995440-315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hdrShapeDefaults>
    <o:shapedefaults v:ext="edit" spidmax="14338"/>
  </w:hdrShapeDefaults>
  <w:footnotePr>
    <w:footnote w:id="-1"/>
    <w:footnote w:id="0"/>
    <w:footnote w:id="1"/>
  </w:footnotePr>
  <w:endnotePr>
    <w:endnote w:id="-1"/>
    <w:endnote w:id="0"/>
    <w:endnote w:id="1"/>
  </w:endnotePr>
  <w:compat/>
  <w:rsids>
    <w:rsidRoot w:val="00074D5A"/>
    <w:rsid w:val="000022F4"/>
    <w:rsid w:val="000177A9"/>
    <w:rsid w:val="0002049C"/>
    <w:rsid w:val="00023633"/>
    <w:rsid w:val="000254A5"/>
    <w:rsid w:val="00025EF7"/>
    <w:rsid w:val="00034F81"/>
    <w:rsid w:val="000446A9"/>
    <w:rsid w:val="00052A18"/>
    <w:rsid w:val="000660BF"/>
    <w:rsid w:val="00067A8B"/>
    <w:rsid w:val="000704A5"/>
    <w:rsid w:val="000714D9"/>
    <w:rsid w:val="00074D5A"/>
    <w:rsid w:val="00083F9B"/>
    <w:rsid w:val="0009443C"/>
    <w:rsid w:val="000953B5"/>
    <w:rsid w:val="000A19CE"/>
    <w:rsid w:val="000A6620"/>
    <w:rsid w:val="000B0949"/>
    <w:rsid w:val="000B30F9"/>
    <w:rsid w:val="000C222A"/>
    <w:rsid w:val="000D1212"/>
    <w:rsid w:val="000E1D1B"/>
    <w:rsid w:val="000E5498"/>
    <w:rsid w:val="000E5687"/>
    <w:rsid w:val="001014FF"/>
    <w:rsid w:val="001016E5"/>
    <w:rsid w:val="001135A4"/>
    <w:rsid w:val="0012236C"/>
    <w:rsid w:val="00127950"/>
    <w:rsid w:val="001354E6"/>
    <w:rsid w:val="001605D3"/>
    <w:rsid w:val="00161817"/>
    <w:rsid w:val="001618BE"/>
    <w:rsid w:val="00172A1F"/>
    <w:rsid w:val="0017372E"/>
    <w:rsid w:val="00175B66"/>
    <w:rsid w:val="00175E8B"/>
    <w:rsid w:val="00193DF9"/>
    <w:rsid w:val="001965DE"/>
    <w:rsid w:val="001A0B3F"/>
    <w:rsid w:val="001A2D63"/>
    <w:rsid w:val="001A4824"/>
    <w:rsid w:val="001B009D"/>
    <w:rsid w:val="001B23D5"/>
    <w:rsid w:val="001B6192"/>
    <w:rsid w:val="001C0504"/>
    <w:rsid w:val="001C27BA"/>
    <w:rsid w:val="001C5480"/>
    <w:rsid w:val="001C5741"/>
    <w:rsid w:val="001D0BB7"/>
    <w:rsid w:val="001D0F2A"/>
    <w:rsid w:val="001D47F9"/>
    <w:rsid w:val="001D588C"/>
    <w:rsid w:val="001D6AC3"/>
    <w:rsid w:val="001E413B"/>
    <w:rsid w:val="001F05B3"/>
    <w:rsid w:val="001F3C87"/>
    <w:rsid w:val="001F55F9"/>
    <w:rsid w:val="00203848"/>
    <w:rsid w:val="00205705"/>
    <w:rsid w:val="002202BE"/>
    <w:rsid w:val="00224606"/>
    <w:rsid w:val="00231298"/>
    <w:rsid w:val="00233FCC"/>
    <w:rsid w:val="00250605"/>
    <w:rsid w:val="00254725"/>
    <w:rsid w:val="0025534A"/>
    <w:rsid w:val="0026056B"/>
    <w:rsid w:val="00263703"/>
    <w:rsid w:val="00264D9E"/>
    <w:rsid w:val="00265604"/>
    <w:rsid w:val="002658BD"/>
    <w:rsid w:val="00266DEA"/>
    <w:rsid w:val="00272398"/>
    <w:rsid w:val="00273C50"/>
    <w:rsid w:val="00287BBE"/>
    <w:rsid w:val="0029381D"/>
    <w:rsid w:val="002942B3"/>
    <w:rsid w:val="002B11DB"/>
    <w:rsid w:val="002C4061"/>
    <w:rsid w:val="002D05B1"/>
    <w:rsid w:val="002D2D7F"/>
    <w:rsid w:val="002D7B72"/>
    <w:rsid w:val="002E0A3A"/>
    <w:rsid w:val="002E2E79"/>
    <w:rsid w:val="002E3596"/>
    <w:rsid w:val="002E421C"/>
    <w:rsid w:val="002E7368"/>
    <w:rsid w:val="002F7AE3"/>
    <w:rsid w:val="00310A83"/>
    <w:rsid w:val="00310C8E"/>
    <w:rsid w:val="00315B2F"/>
    <w:rsid w:val="003349F4"/>
    <w:rsid w:val="00337534"/>
    <w:rsid w:val="00345CE6"/>
    <w:rsid w:val="003478B2"/>
    <w:rsid w:val="003610F0"/>
    <w:rsid w:val="00361483"/>
    <w:rsid w:val="00361AC7"/>
    <w:rsid w:val="00362088"/>
    <w:rsid w:val="00362647"/>
    <w:rsid w:val="0037089A"/>
    <w:rsid w:val="00375468"/>
    <w:rsid w:val="00382902"/>
    <w:rsid w:val="003872F7"/>
    <w:rsid w:val="003A0856"/>
    <w:rsid w:val="003A0D16"/>
    <w:rsid w:val="003A4126"/>
    <w:rsid w:val="003A4726"/>
    <w:rsid w:val="003C1AFB"/>
    <w:rsid w:val="003C520B"/>
    <w:rsid w:val="003C7F94"/>
    <w:rsid w:val="003D26E3"/>
    <w:rsid w:val="003D3CC3"/>
    <w:rsid w:val="003D59FF"/>
    <w:rsid w:val="003D76F8"/>
    <w:rsid w:val="003E3049"/>
    <w:rsid w:val="003E31A8"/>
    <w:rsid w:val="003E3DAA"/>
    <w:rsid w:val="003F17B8"/>
    <w:rsid w:val="003F292A"/>
    <w:rsid w:val="003F5A81"/>
    <w:rsid w:val="004067CB"/>
    <w:rsid w:val="00406A81"/>
    <w:rsid w:val="00414586"/>
    <w:rsid w:val="00427BA4"/>
    <w:rsid w:val="00444268"/>
    <w:rsid w:val="00451628"/>
    <w:rsid w:val="00460E4E"/>
    <w:rsid w:val="0046174A"/>
    <w:rsid w:val="00463970"/>
    <w:rsid w:val="0047508E"/>
    <w:rsid w:val="004807DD"/>
    <w:rsid w:val="00480B9C"/>
    <w:rsid w:val="00485B5D"/>
    <w:rsid w:val="00486C2D"/>
    <w:rsid w:val="004A4AC9"/>
    <w:rsid w:val="004A4B81"/>
    <w:rsid w:val="004A5EC9"/>
    <w:rsid w:val="004C79F5"/>
    <w:rsid w:val="004E5517"/>
    <w:rsid w:val="004E69A3"/>
    <w:rsid w:val="0050443F"/>
    <w:rsid w:val="0050544B"/>
    <w:rsid w:val="00505875"/>
    <w:rsid w:val="00507CA9"/>
    <w:rsid w:val="005114FE"/>
    <w:rsid w:val="00515E4D"/>
    <w:rsid w:val="0052199D"/>
    <w:rsid w:val="005230CE"/>
    <w:rsid w:val="00526C6A"/>
    <w:rsid w:val="005336F1"/>
    <w:rsid w:val="00541169"/>
    <w:rsid w:val="005751C7"/>
    <w:rsid w:val="00586AED"/>
    <w:rsid w:val="005909B1"/>
    <w:rsid w:val="00596DE2"/>
    <w:rsid w:val="005B13B8"/>
    <w:rsid w:val="005B4699"/>
    <w:rsid w:val="005D28F8"/>
    <w:rsid w:val="005D4241"/>
    <w:rsid w:val="005D74AD"/>
    <w:rsid w:val="005E1303"/>
    <w:rsid w:val="00603A74"/>
    <w:rsid w:val="00611525"/>
    <w:rsid w:val="00625B10"/>
    <w:rsid w:val="00634850"/>
    <w:rsid w:val="00636906"/>
    <w:rsid w:val="006509C9"/>
    <w:rsid w:val="00651E60"/>
    <w:rsid w:val="00654C1D"/>
    <w:rsid w:val="00655364"/>
    <w:rsid w:val="006574D2"/>
    <w:rsid w:val="0066284A"/>
    <w:rsid w:val="00665AFC"/>
    <w:rsid w:val="00666228"/>
    <w:rsid w:val="00673741"/>
    <w:rsid w:val="00682092"/>
    <w:rsid w:val="00683B52"/>
    <w:rsid w:val="006845C9"/>
    <w:rsid w:val="00692047"/>
    <w:rsid w:val="00694FF3"/>
    <w:rsid w:val="0069621D"/>
    <w:rsid w:val="006968A8"/>
    <w:rsid w:val="006C0DED"/>
    <w:rsid w:val="006C40BF"/>
    <w:rsid w:val="006C6203"/>
    <w:rsid w:val="006D59B4"/>
    <w:rsid w:val="006D7D5E"/>
    <w:rsid w:val="006E2441"/>
    <w:rsid w:val="006F076A"/>
    <w:rsid w:val="00701DCE"/>
    <w:rsid w:val="0071238D"/>
    <w:rsid w:val="007224A8"/>
    <w:rsid w:val="00726879"/>
    <w:rsid w:val="0072756A"/>
    <w:rsid w:val="00731500"/>
    <w:rsid w:val="007330EC"/>
    <w:rsid w:val="00736142"/>
    <w:rsid w:val="007376F3"/>
    <w:rsid w:val="00743540"/>
    <w:rsid w:val="00743A60"/>
    <w:rsid w:val="00744425"/>
    <w:rsid w:val="00744CFD"/>
    <w:rsid w:val="00751813"/>
    <w:rsid w:val="007631CC"/>
    <w:rsid w:val="007654DB"/>
    <w:rsid w:val="00767867"/>
    <w:rsid w:val="00770311"/>
    <w:rsid w:val="007851CD"/>
    <w:rsid w:val="007910EA"/>
    <w:rsid w:val="00794E67"/>
    <w:rsid w:val="00795118"/>
    <w:rsid w:val="0079793E"/>
    <w:rsid w:val="007A75C8"/>
    <w:rsid w:val="007B3BA3"/>
    <w:rsid w:val="007B50A9"/>
    <w:rsid w:val="007D5CA2"/>
    <w:rsid w:val="007E2CBF"/>
    <w:rsid w:val="00807AC0"/>
    <w:rsid w:val="00822071"/>
    <w:rsid w:val="00822378"/>
    <w:rsid w:val="0082487E"/>
    <w:rsid w:val="008249D5"/>
    <w:rsid w:val="00825AFB"/>
    <w:rsid w:val="008422FB"/>
    <w:rsid w:val="00850848"/>
    <w:rsid w:val="008678BF"/>
    <w:rsid w:val="00875E78"/>
    <w:rsid w:val="00881F83"/>
    <w:rsid w:val="00887E94"/>
    <w:rsid w:val="008911B2"/>
    <w:rsid w:val="008A47CA"/>
    <w:rsid w:val="008B3C97"/>
    <w:rsid w:val="008B6047"/>
    <w:rsid w:val="008C0568"/>
    <w:rsid w:val="008D4F1D"/>
    <w:rsid w:val="008D5042"/>
    <w:rsid w:val="008D6EAF"/>
    <w:rsid w:val="008F3698"/>
    <w:rsid w:val="008F5B87"/>
    <w:rsid w:val="00913381"/>
    <w:rsid w:val="009309EF"/>
    <w:rsid w:val="00943C0A"/>
    <w:rsid w:val="0094425A"/>
    <w:rsid w:val="009444DA"/>
    <w:rsid w:val="00944F19"/>
    <w:rsid w:val="009545FC"/>
    <w:rsid w:val="00956A41"/>
    <w:rsid w:val="0096432F"/>
    <w:rsid w:val="00970254"/>
    <w:rsid w:val="00972517"/>
    <w:rsid w:val="00985DF1"/>
    <w:rsid w:val="00985F58"/>
    <w:rsid w:val="00991A71"/>
    <w:rsid w:val="009952B1"/>
    <w:rsid w:val="009A00A3"/>
    <w:rsid w:val="009B2427"/>
    <w:rsid w:val="009B61F7"/>
    <w:rsid w:val="009D1020"/>
    <w:rsid w:val="009D3AD0"/>
    <w:rsid w:val="009E0920"/>
    <w:rsid w:val="009E3AAF"/>
    <w:rsid w:val="009E46AA"/>
    <w:rsid w:val="009F0B88"/>
    <w:rsid w:val="00A12826"/>
    <w:rsid w:val="00A2744A"/>
    <w:rsid w:val="00A32E8C"/>
    <w:rsid w:val="00A33B4F"/>
    <w:rsid w:val="00A4003B"/>
    <w:rsid w:val="00A41BA9"/>
    <w:rsid w:val="00A43C90"/>
    <w:rsid w:val="00A54DE8"/>
    <w:rsid w:val="00A70144"/>
    <w:rsid w:val="00A75E07"/>
    <w:rsid w:val="00A8775D"/>
    <w:rsid w:val="00A95A29"/>
    <w:rsid w:val="00A96A97"/>
    <w:rsid w:val="00AB3EFC"/>
    <w:rsid w:val="00AB5904"/>
    <w:rsid w:val="00AC0491"/>
    <w:rsid w:val="00AC10A0"/>
    <w:rsid w:val="00AD0821"/>
    <w:rsid w:val="00AD54E7"/>
    <w:rsid w:val="00AE0E40"/>
    <w:rsid w:val="00AE0F12"/>
    <w:rsid w:val="00AE3DC6"/>
    <w:rsid w:val="00AE5CF4"/>
    <w:rsid w:val="00AF14CD"/>
    <w:rsid w:val="00AF7384"/>
    <w:rsid w:val="00AF7BD1"/>
    <w:rsid w:val="00B053E8"/>
    <w:rsid w:val="00B06CB2"/>
    <w:rsid w:val="00B15E22"/>
    <w:rsid w:val="00B25D84"/>
    <w:rsid w:val="00B36A43"/>
    <w:rsid w:val="00B47083"/>
    <w:rsid w:val="00B502F2"/>
    <w:rsid w:val="00B618E2"/>
    <w:rsid w:val="00B624C7"/>
    <w:rsid w:val="00B64EFC"/>
    <w:rsid w:val="00B77494"/>
    <w:rsid w:val="00B86087"/>
    <w:rsid w:val="00BA452F"/>
    <w:rsid w:val="00BB0A1E"/>
    <w:rsid w:val="00BD4784"/>
    <w:rsid w:val="00BD5726"/>
    <w:rsid w:val="00BE1D51"/>
    <w:rsid w:val="00BF2120"/>
    <w:rsid w:val="00C0007B"/>
    <w:rsid w:val="00C04E64"/>
    <w:rsid w:val="00C04E8B"/>
    <w:rsid w:val="00C10CCB"/>
    <w:rsid w:val="00C143C9"/>
    <w:rsid w:val="00C2479A"/>
    <w:rsid w:val="00C30524"/>
    <w:rsid w:val="00C338F4"/>
    <w:rsid w:val="00C33AC4"/>
    <w:rsid w:val="00C425A4"/>
    <w:rsid w:val="00C551FB"/>
    <w:rsid w:val="00C56B1D"/>
    <w:rsid w:val="00C61F47"/>
    <w:rsid w:val="00C64FA8"/>
    <w:rsid w:val="00C667A0"/>
    <w:rsid w:val="00C718E4"/>
    <w:rsid w:val="00C71C95"/>
    <w:rsid w:val="00C92321"/>
    <w:rsid w:val="00C95571"/>
    <w:rsid w:val="00CA0C62"/>
    <w:rsid w:val="00CA78D8"/>
    <w:rsid w:val="00CC2101"/>
    <w:rsid w:val="00CC5761"/>
    <w:rsid w:val="00CD6757"/>
    <w:rsid w:val="00CE77DE"/>
    <w:rsid w:val="00CF23F0"/>
    <w:rsid w:val="00D01076"/>
    <w:rsid w:val="00D15B17"/>
    <w:rsid w:val="00D20C9D"/>
    <w:rsid w:val="00D2261A"/>
    <w:rsid w:val="00D23866"/>
    <w:rsid w:val="00D3094D"/>
    <w:rsid w:val="00D31F3C"/>
    <w:rsid w:val="00D51A09"/>
    <w:rsid w:val="00D56F7C"/>
    <w:rsid w:val="00D612F6"/>
    <w:rsid w:val="00D660CA"/>
    <w:rsid w:val="00D71264"/>
    <w:rsid w:val="00D71E86"/>
    <w:rsid w:val="00D85016"/>
    <w:rsid w:val="00D9042E"/>
    <w:rsid w:val="00D914CF"/>
    <w:rsid w:val="00DA3574"/>
    <w:rsid w:val="00DA46C7"/>
    <w:rsid w:val="00DA6328"/>
    <w:rsid w:val="00DB0527"/>
    <w:rsid w:val="00DB2250"/>
    <w:rsid w:val="00DB25F6"/>
    <w:rsid w:val="00DB2C5A"/>
    <w:rsid w:val="00DC04D4"/>
    <w:rsid w:val="00DC27B8"/>
    <w:rsid w:val="00DC5BB0"/>
    <w:rsid w:val="00DD5B67"/>
    <w:rsid w:val="00DD6203"/>
    <w:rsid w:val="00DE596F"/>
    <w:rsid w:val="00DF5800"/>
    <w:rsid w:val="00E07654"/>
    <w:rsid w:val="00E13B24"/>
    <w:rsid w:val="00E22F6F"/>
    <w:rsid w:val="00E24FA5"/>
    <w:rsid w:val="00E2746E"/>
    <w:rsid w:val="00E34025"/>
    <w:rsid w:val="00E36182"/>
    <w:rsid w:val="00E61B98"/>
    <w:rsid w:val="00E66CAF"/>
    <w:rsid w:val="00E80316"/>
    <w:rsid w:val="00E826B8"/>
    <w:rsid w:val="00E84799"/>
    <w:rsid w:val="00EA60FD"/>
    <w:rsid w:val="00EA63B1"/>
    <w:rsid w:val="00EA7F1D"/>
    <w:rsid w:val="00EB3BDF"/>
    <w:rsid w:val="00EB7EF4"/>
    <w:rsid w:val="00EC1EDE"/>
    <w:rsid w:val="00EC6191"/>
    <w:rsid w:val="00EF56E7"/>
    <w:rsid w:val="00F0493D"/>
    <w:rsid w:val="00F11EBB"/>
    <w:rsid w:val="00F128DF"/>
    <w:rsid w:val="00F1351F"/>
    <w:rsid w:val="00F23D72"/>
    <w:rsid w:val="00F44D38"/>
    <w:rsid w:val="00F50FFC"/>
    <w:rsid w:val="00F544FF"/>
    <w:rsid w:val="00F57650"/>
    <w:rsid w:val="00F60601"/>
    <w:rsid w:val="00F6477B"/>
    <w:rsid w:val="00F64FA9"/>
    <w:rsid w:val="00F7798F"/>
    <w:rsid w:val="00F83D3B"/>
    <w:rsid w:val="00F862EF"/>
    <w:rsid w:val="00F87AA6"/>
    <w:rsid w:val="00F95248"/>
    <w:rsid w:val="00FA2458"/>
    <w:rsid w:val="00FA74C2"/>
    <w:rsid w:val="00FB671D"/>
    <w:rsid w:val="00FC3008"/>
    <w:rsid w:val="00FC3423"/>
    <w:rsid w:val="00FC7C45"/>
    <w:rsid w:val="00FD0DA2"/>
    <w:rsid w:val="00FD4AC7"/>
    <w:rsid w:val="00FE166A"/>
    <w:rsid w:val="00FE4533"/>
    <w:rsid w:val="00FF2EF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120" w:after="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79793E"/>
    <w:rPr>
      <w:rFonts w:ascii="Arial" w:hAnsi="Arial"/>
      <w:sz w:val="20"/>
    </w:rPr>
  </w:style>
  <w:style w:type="paragraph" w:styleId="Heading1">
    <w:name w:val="heading 1"/>
    <w:basedOn w:val="Normal"/>
    <w:next w:val="Normal"/>
    <w:link w:val="Heading1Char"/>
    <w:uiPriority w:val="9"/>
    <w:qFormat/>
    <w:rsid w:val="009952B1"/>
    <w:pPr>
      <w:keepNext/>
      <w:keepLines/>
      <w:numPr>
        <w:numId w:val="8"/>
      </w:numPr>
      <w:spacing w:before="240"/>
      <w:ind w:left="357" w:hanging="357"/>
      <w:outlineLvl w:val="0"/>
    </w:pPr>
    <w:rPr>
      <w:rFonts w:eastAsiaTheme="majorEastAsia" w:cstheme="majorBidi"/>
      <w:b/>
      <w:color w:val="2E74B5" w:themeColor="accent1" w:themeShade="BF"/>
      <w:sz w:val="22"/>
      <w:szCs w:val="32"/>
    </w:rPr>
  </w:style>
  <w:style w:type="paragraph" w:styleId="Heading2">
    <w:name w:val="heading 2"/>
    <w:basedOn w:val="Normal"/>
    <w:next w:val="Normal"/>
    <w:link w:val="Heading2Char"/>
    <w:uiPriority w:val="9"/>
    <w:unhideWhenUsed/>
    <w:qFormat/>
    <w:rsid w:val="0079793E"/>
    <w:pPr>
      <w:keepNext/>
      <w:keepLines/>
      <w:numPr>
        <w:ilvl w:val="1"/>
        <w:numId w:val="8"/>
      </w:numPr>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02049C"/>
    <w:pPr>
      <w:keepNext/>
      <w:keepLines/>
      <w:numPr>
        <w:ilvl w:val="2"/>
        <w:numId w:val="8"/>
      </w:numP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3A4726"/>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4726"/>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4726"/>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4726"/>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472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472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2B1"/>
    <w:rPr>
      <w:rFonts w:ascii="Arial" w:eastAsiaTheme="majorEastAsia" w:hAnsi="Arial" w:cstheme="majorBidi"/>
      <w:b/>
      <w:color w:val="2E74B5" w:themeColor="accent1" w:themeShade="BF"/>
      <w:szCs w:val="32"/>
    </w:rPr>
  </w:style>
  <w:style w:type="paragraph" w:styleId="ListParagraph">
    <w:name w:val="List Paragraph"/>
    <w:basedOn w:val="Normal"/>
    <w:link w:val="ListParagraphChar"/>
    <w:uiPriority w:val="34"/>
    <w:qFormat/>
    <w:rsid w:val="00C10CCB"/>
    <w:pPr>
      <w:ind w:left="720"/>
      <w:contextualSpacing/>
    </w:pPr>
  </w:style>
  <w:style w:type="paragraph" w:customStyle="1" w:styleId="Bullets">
    <w:name w:val="Bullets"/>
    <w:basedOn w:val="ListParagraph"/>
    <w:link w:val="BulletsChar"/>
    <w:qFormat/>
    <w:rsid w:val="009545FC"/>
    <w:pPr>
      <w:numPr>
        <w:numId w:val="2"/>
      </w:numPr>
      <w:ind w:left="924" w:hanging="357"/>
    </w:pPr>
  </w:style>
  <w:style w:type="paragraph" w:customStyle="1" w:styleId="Numbering">
    <w:name w:val="Numbering"/>
    <w:basedOn w:val="ListParagraph"/>
    <w:link w:val="NumberingChar"/>
    <w:qFormat/>
    <w:rsid w:val="00C10CCB"/>
    <w:pPr>
      <w:numPr>
        <w:numId w:val="3"/>
      </w:numPr>
    </w:pPr>
  </w:style>
  <w:style w:type="character" w:customStyle="1" w:styleId="ListParagraphChar">
    <w:name w:val="List Paragraph Char"/>
    <w:basedOn w:val="DefaultParagraphFont"/>
    <w:link w:val="ListParagraph"/>
    <w:uiPriority w:val="34"/>
    <w:rsid w:val="00C10CCB"/>
  </w:style>
  <w:style w:type="character" w:customStyle="1" w:styleId="BulletsChar">
    <w:name w:val="Bullets Char"/>
    <w:basedOn w:val="ListParagraphChar"/>
    <w:link w:val="Bullets"/>
    <w:rsid w:val="009545FC"/>
    <w:rPr>
      <w:rFonts w:ascii="Arial" w:hAnsi="Arial"/>
      <w:sz w:val="20"/>
    </w:rPr>
  </w:style>
  <w:style w:type="character" w:customStyle="1" w:styleId="NumberingChar">
    <w:name w:val="Numbering Char"/>
    <w:basedOn w:val="ListParagraphChar"/>
    <w:link w:val="Numbering"/>
    <w:rsid w:val="00C10CCB"/>
  </w:style>
  <w:style w:type="paragraph" w:styleId="Header">
    <w:name w:val="header"/>
    <w:basedOn w:val="Normal"/>
    <w:link w:val="HeaderChar"/>
    <w:uiPriority w:val="99"/>
    <w:unhideWhenUsed/>
    <w:rsid w:val="00E22F6F"/>
    <w:pPr>
      <w:tabs>
        <w:tab w:val="center" w:pos="4513"/>
        <w:tab w:val="right" w:pos="9026"/>
      </w:tabs>
      <w:spacing w:after="0"/>
    </w:pPr>
  </w:style>
  <w:style w:type="character" w:customStyle="1" w:styleId="HeaderChar">
    <w:name w:val="Header Char"/>
    <w:basedOn w:val="DefaultParagraphFont"/>
    <w:link w:val="Header"/>
    <w:uiPriority w:val="99"/>
    <w:rsid w:val="00E22F6F"/>
  </w:style>
  <w:style w:type="paragraph" w:styleId="Footer">
    <w:name w:val="footer"/>
    <w:basedOn w:val="Normal"/>
    <w:link w:val="FooterChar"/>
    <w:uiPriority w:val="99"/>
    <w:unhideWhenUsed/>
    <w:rsid w:val="00E22F6F"/>
    <w:pPr>
      <w:tabs>
        <w:tab w:val="center" w:pos="4513"/>
        <w:tab w:val="right" w:pos="9026"/>
      </w:tabs>
      <w:spacing w:after="0"/>
    </w:pPr>
  </w:style>
  <w:style w:type="character" w:customStyle="1" w:styleId="FooterChar">
    <w:name w:val="Footer Char"/>
    <w:basedOn w:val="DefaultParagraphFont"/>
    <w:link w:val="Footer"/>
    <w:uiPriority w:val="99"/>
    <w:rsid w:val="00E22F6F"/>
  </w:style>
  <w:style w:type="paragraph" w:customStyle="1" w:styleId="Bulletnumbering">
    <w:name w:val="Bullet numbering"/>
    <w:basedOn w:val="ListParagraph"/>
    <w:link w:val="BulletnumberingChar"/>
    <w:qFormat/>
    <w:rsid w:val="0002049C"/>
    <w:pPr>
      <w:numPr>
        <w:numId w:val="4"/>
      </w:numPr>
      <w:contextualSpacing w:val="0"/>
    </w:pPr>
    <w:rPr>
      <w:rFonts w:cs="Arial"/>
    </w:rPr>
  </w:style>
  <w:style w:type="character" w:styleId="Hyperlink">
    <w:name w:val="Hyperlink"/>
    <w:basedOn w:val="DefaultParagraphFont"/>
    <w:uiPriority w:val="99"/>
    <w:unhideWhenUsed/>
    <w:rsid w:val="00406A81"/>
    <w:rPr>
      <w:color w:val="auto"/>
      <w:u w:val="none"/>
    </w:rPr>
  </w:style>
  <w:style w:type="character" w:customStyle="1" w:styleId="BulletnumberingChar">
    <w:name w:val="Bullet numbering Char"/>
    <w:basedOn w:val="ListParagraphChar"/>
    <w:link w:val="Bulletnumbering"/>
    <w:rsid w:val="0002049C"/>
    <w:rPr>
      <w:rFonts w:ascii="Arial" w:hAnsi="Arial" w:cs="Arial"/>
    </w:rPr>
  </w:style>
  <w:style w:type="character" w:styleId="FollowedHyperlink">
    <w:name w:val="FollowedHyperlink"/>
    <w:basedOn w:val="DefaultParagraphFont"/>
    <w:uiPriority w:val="99"/>
    <w:semiHidden/>
    <w:unhideWhenUsed/>
    <w:rsid w:val="00985F58"/>
    <w:rPr>
      <w:color w:val="954F72" w:themeColor="followedHyperlink"/>
      <w:u w:val="single"/>
    </w:rPr>
  </w:style>
  <w:style w:type="character" w:styleId="CommentReference">
    <w:name w:val="annotation reference"/>
    <w:basedOn w:val="DefaultParagraphFont"/>
    <w:uiPriority w:val="99"/>
    <w:semiHidden/>
    <w:unhideWhenUsed/>
    <w:rsid w:val="00DE596F"/>
    <w:rPr>
      <w:sz w:val="16"/>
      <w:szCs w:val="16"/>
    </w:rPr>
  </w:style>
  <w:style w:type="paragraph" w:styleId="CommentText">
    <w:name w:val="annotation text"/>
    <w:basedOn w:val="Normal"/>
    <w:link w:val="CommentTextChar"/>
    <w:uiPriority w:val="99"/>
    <w:semiHidden/>
    <w:unhideWhenUsed/>
    <w:rsid w:val="00DE596F"/>
    <w:rPr>
      <w:szCs w:val="20"/>
    </w:rPr>
  </w:style>
  <w:style w:type="character" w:customStyle="1" w:styleId="CommentTextChar">
    <w:name w:val="Comment Text Char"/>
    <w:basedOn w:val="DefaultParagraphFont"/>
    <w:link w:val="CommentText"/>
    <w:uiPriority w:val="99"/>
    <w:semiHidden/>
    <w:rsid w:val="00DE596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E596F"/>
    <w:rPr>
      <w:b/>
      <w:bCs/>
    </w:rPr>
  </w:style>
  <w:style w:type="character" w:customStyle="1" w:styleId="CommentSubjectChar">
    <w:name w:val="Comment Subject Char"/>
    <w:basedOn w:val="CommentTextChar"/>
    <w:link w:val="CommentSubject"/>
    <w:uiPriority w:val="99"/>
    <w:semiHidden/>
    <w:rsid w:val="00DE596F"/>
    <w:rPr>
      <w:rFonts w:ascii="Arial" w:hAnsi="Arial"/>
      <w:b/>
      <w:bCs/>
      <w:sz w:val="20"/>
      <w:szCs w:val="20"/>
    </w:rPr>
  </w:style>
  <w:style w:type="paragraph" w:styleId="BalloonText">
    <w:name w:val="Balloon Text"/>
    <w:basedOn w:val="Normal"/>
    <w:link w:val="BalloonTextChar"/>
    <w:uiPriority w:val="99"/>
    <w:semiHidden/>
    <w:unhideWhenUsed/>
    <w:rsid w:val="00DE596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96F"/>
    <w:rPr>
      <w:rFonts w:ascii="Segoe UI" w:hAnsi="Segoe UI" w:cs="Segoe UI"/>
      <w:sz w:val="18"/>
      <w:szCs w:val="18"/>
    </w:rPr>
  </w:style>
  <w:style w:type="paragraph" w:styleId="TOC1">
    <w:name w:val="toc 1"/>
    <w:basedOn w:val="Normal"/>
    <w:next w:val="Normal"/>
    <w:autoRedefine/>
    <w:uiPriority w:val="39"/>
    <w:unhideWhenUsed/>
    <w:rsid w:val="002D2D7F"/>
    <w:pPr>
      <w:spacing w:after="100"/>
    </w:pPr>
  </w:style>
  <w:style w:type="character" w:customStyle="1" w:styleId="Heading2Char">
    <w:name w:val="Heading 2 Char"/>
    <w:basedOn w:val="DefaultParagraphFont"/>
    <w:link w:val="Heading2"/>
    <w:uiPriority w:val="9"/>
    <w:rsid w:val="0079793E"/>
    <w:rPr>
      <w:rFonts w:ascii="Arial" w:eastAsiaTheme="majorEastAsia" w:hAnsi="Arial" w:cstheme="majorBidi"/>
      <w:color w:val="2E74B5" w:themeColor="accent1" w:themeShade="BF"/>
      <w:szCs w:val="26"/>
    </w:rPr>
  </w:style>
  <w:style w:type="character" w:customStyle="1" w:styleId="Heading3Char">
    <w:name w:val="Heading 3 Char"/>
    <w:basedOn w:val="DefaultParagraphFont"/>
    <w:link w:val="Heading3"/>
    <w:uiPriority w:val="9"/>
    <w:rsid w:val="0002049C"/>
    <w:rPr>
      <w:rFonts w:ascii="Arial" w:eastAsiaTheme="majorEastAsia" w:hAnsi="Arial" w:cstheme="majorBidi"/>
      <w:szCs w:val="24"/>
    </w:rPr>
  </w:style>
  <w:style w:type="character" w:customStyle="1" w:styleId="Heading4Char">
    <w:name w:val="Heading 4 Char"/>
    <w:basedOn w:val="DefaultParagraphFont"/>
    <w:link w:val="Heading4"/>
    <w:uiPriority w:val="9"/>
    <w:semiHidden/>
    <w:rsid w:val="003A4726"/>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3A4726"/>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3A4726"/>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3A4726"/>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3A47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472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C6203"/>
    <w:pPr>
      <w:spacing w:before="360" w:after="240" w:line="240" w:lineRule="auto"/>
    </w:pPr>
    <w:rPr>
      <w:rFonts w:eastAsiaTheme="majorEastAsia" w:cstheme="majorBidi"/>
      <w:b/>
      <w:color w:val="2E74B5" w:themeColor="accent1" w:themeShade="BF"/>
      <w:spacing w:val="-10"/>
      <w:kern w:val="28"/>
      <w:sz w:val="24"/>
      <w:szCs w:val="56"/>
    </w:rPr>
  </w:style>
  <w:style w:type="character" w:customStyle="1" w:styleId="TitleChar">
    <w:name w:val="Title Char"/>
    <w:basedOn w:val="DefaultParagraphFont"/>
    <w:link w:val="Title"/>
    <w:uiPriority w:val="10"/>
    <w:rsid w:val="006C6203"/>
    <w:rPr>
      <w:rFonts w:ascii="Arial" w:eastAsiaTheme="majorEastAsia" w:hAnsi="Arial" w:cstheme="majorBidi"/>
      <w:b/>
      <w:color w:val="2E74B5" w:themeColor="accent1" w:themeShade="BF"/>
      <w:spacing w:val="-10"/>
      <w:kern w:val="28"/>
      <w:sz w:val="24"/>
      <w:szCs w:val="56"/>
    </w:rPr>
  </w:style>
  <w:style w:type="table" w:styleId="TableGrid">
    <w:name w:val="Table Grid"/>
    <w:basedOn w:val="TableNormal"/>
    <w:uiPriority w:val="39"/>
    <w:rsid w:val="00101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link w:val="TabletextChar"/>
    <w:qFormat/>
    <w:rsid w:val="001016E5"/>
    <w:pPr>
      <w:spacing w:before="40" w:after="40" w:line="240" w:lineRule="auto"/>
    </w:pPr>
  </w:style>
  <w:style w:type="character" w:customStyle="1" w:styleId="TabletextChar">
    <w:name w:val="Table text Char"/>
    <w:basedOn w:val="DefaultParagraphFont"/>
    <w:link w:val="Tabletext"/>
    <w:rsid w:val="001016E5"/>
    <w:rPr>
      <w:rFonts w:ascii="Arial" w:hAnsi="Arial"/>
      <w:sz w:val="20"/>
    </w:rPr>
  </w:style>
  <w:style w:type="paragraph" w:styleId="FootnoteText">
    <w:name w:val="footnote text"/>
    <w:aliases w:val="single space,ft,ft Char,FOOTNOTES,fn,Footnote Text Char2,Footnote Text Char1 Char,Footnote Text Char Char Char1,Footnote Text Char1 Char Char Char1,Footnote Text Char1 Char1 Char,Footnote Text Char Char Char Char,Footnote Text Char Cha"/>
    <w:basedOn w:val="Normal"/>
    <w:link w:val="FootnoteTextChar"/>
    <w:unhideWhenUsed/>
    <w:rsid w:val="00C425A4"/>
    <w:pPr>
      <w:spacing w:before="0" w:after="0" w:line="240" w:lineRule="auto"/>
    </w:pPr>
    <w:rPr>
      <w:rFonts w:asciiTheme="minorHAnsi" w:hAnsiTheme="minorHAnsi"/>
      <w:szCs w:val="20"/>
    </w:rPr>
  </w:style>
  <w:style w:type="character" w:customStyle="1" w:styleId="FootnoteTextChar">
    <w:name w:val="Footnote Text Char"/>
    <w:aliases w:val="single space Char,ft Char1,ft Char Char,FOOTNOTES Char,fn Char,Footnote Text Char2 Char,Footnote Text Char1 Char Char,Footnote Text Char Char Char1 Char,Footnote Text Char1 Char Char Char1 Char,Footnote Text Char1 Char1 Char Char"/>
    <w:basedOn w:val="DefaultParagraphFont"/>
    <w:link w:val="FootnoteText"/>
    <w:rsid w:val="00C425A4"/>
    <w:rPr>
      <w:sz w:val="20"/>
      <w:szCs w:val="20"/>
    </w:rPr>
  </w:style>
  <w:style w:type="character" w:styleId="FootnoteReference">
    <w:name w:val="footnote reference"/>
    <w:aliases w:val="ftref,Footnote Reference1,footnote number Char Char,BVI fnr Char Char Char Char Char Char1 Char Char,BVI fnr Car Car Char Char Char Char Char Char Char Char,BVI fnr Car Char Char Char Char Char Char Char Char,BVI fnr,Footnote, BVI fnr"/>
    <w:basedOn w:val="DefaultParagraphFont"/>
    <w:link w:val="footnotenumber"/>
    <w:unhideWhenUsed/>
    <w:rsid w:val="00C425A4"/>
    <w:rPr>
      <w:vertAlign w:val="superscript"/>
    </w:rPr>
  </w:style>
  <w:style w:type="paragraph" w:styleId="Revision">
    <w:name w:val="Revision"/>
    <w:hidden/>
    <w:uiPriority w:val="99"/>
    <w:semiHidden/>
    <w:rsid w:val="00CA78D8"/>
    <w:pPr>
      <w:spacing w:after="0" w:line="240" w:lineRule="auto"/>
    </w:pPr>
    <w:rPr>
      <w:rFonts w:ascii="Arial" w:hAnsi="Arial"/>
      <w:sz w:val="20"/>
    </w:rPr>
  </w:style>
  <w:style w:type="paragraph" w:customStyle="1" w:styleId="footnotenumber">
    <w:name w:val="footnote number"/>
    <w:basedOn w:val="Normal"/>
    <w:link w:val="FootnoteReference"/>
    <w:uiPriority w:val="99"/>
    <w:rsid w:val="00480B9C"/>
    <w:pPr>
      <w:spacing w:before="0" w:after="0" w:line="240" w:lineRule="exact"/>
      <w:jc w:val="left"/>
    </w:pPr>
    <w:rPr>
      <w:rFonts w:asciiTheme="minorHAnsi" w:hAnsiTheme="minorHAnsi"/>
      <w:sz w:val="22"/>
      <w:vertAlign w:val="superscript"/>
    </w:rPr>
  </w:style>
  <w:style w:type="paragraph" w:customStyle="1" w:styleId="Termslevel1">
    <w:name w:val="_Terms level 1"/>
    <w:next w:val="Termslevel2"/>
    <w:semiHidden/>
    <w:locked/>
    <w:rsid w:val="00515E4D"/>
    <w:pPr>
      <w:numPr>
        <w:numId w:val="19"/>
      </w:numPr>
      <w:tabs>
        <w:tab w:val="left" w:pos="426"/>
      </w:tabs>
      <w:spacing w:before="170" w:after="0" w:line="240" w:lineRule="auto"/>
      <w:ind w:left="426" w:hanging="426"/>
      <w:jc w:val="left"/>
    </w:pPr>
    <w:rPr>
      <w:rFonts w:ascii="Univers 45 Light" w:eastAsia="Times New Roman" w:hAnsi="Univers 45 Light" w:cs="Arial"/>
      <w:b/>
      <w:sz w:val="17"/>
      <w:szCs w:val="24"/>
      <w:lang w:eastAsia="en-GB"/>
    </w:rPr>
  </w:style>
  <w:style w:type="paragraph" w:customStyle="1" w:styleId="Termslevel2">
    <w:name w:val="_Terms level 2"/>
    <w:basedOn w:val="Termslevel1"/>
    <w:next w:val="Termslevel3"/>
    <w:semiHidden/>
    <w:locked/>
    <w:rsid w:val="00515E4D"/>
    <w:pPr>
      <w:numPr>
        <w:ilvl w:val="1"/>
      </w:numPr>
      <w:tabs>
        <w:tab w:val="clear" w:pos="340"/>
        <w:tab w:val="left" w:pos="993"/>
      </w:tabs>
      <w:spacing w:before="0"/>
      <w:ind w:left="426" w:hanging="426"/>
    </w:pPr>
    <w:rPr>
      <w:b w:val="0"/>
      <w:sz w:val="14"/>
    </w:rPr>
  </w:style>
  <w:style w:type="paragraph" w:customStyle="1" w:styleId="Termslevel3">
    <w:name w:val="_Terms level 3"/>
    <w:basedOn w:val="Normal"/>
    <w:semiHidden/>
    <w:locked/>
    <w:rsid w:val="00515E4D"/>
    <w:pPr>
      <w:numPr>
        <w:ilvl w:val="2"/>
        <w:numId w:val="19"/>
      </w:numPr>
      <w:spacing w:line="240" w:lineRule="atLeast"/>
    </w:pPr>
    <w:rPr>
      <w:rFonts w:asciiTheme="minorHAnsi" w:eastAsia="Times New Roman" w:hAnsiTheme="minorHAnsi" w:cs="Arial"/>
      <w:sz w:val="14"/>
      <w:szCs w:val="24"/>
      <w:lang w:eastAsia="en-GB"/>
    </w:rPr>
  </w:style>
  <w:style w:type="paragraph" w:customStyle="1" w:styleId="Tablesubtitle">
    <w:name w:val="Table subtitle"/>
    <w:basedOn w:val="Tabletext"/>
    <w:qFormat/>
    <w:rsid w:val="008678BF"/>
    <w:pPr>
      <w:keepNext/>
    </w:pPr>
    <w:rPr>
      <w:b/>
      <w:sz w:val="18"/>
      <w:lang w:eastAsia="en-GB"/>
    </w:rPr>
  </w:style>
  <w:style w:type="paragraph" w:customStyle="1" w:styleId="Bullet">
    <w:name w:val="Bullet"/>
    <w:basedOn w:val="Normal"/>
    <w:qFormat/>
    <w:rsid w:val="008678BF"/>
    <w:pPr>
      <w:numPr>
        <w:numId w:val="32"/>
      </w:numPr>
      <w:spacing w:before="70" w:after="70"/>
      <w:ind w:left="1134" w:hanging="567"/>
    </w:pPr>
  </w:style>
  <w:style w:type="paragraph" w:customStyle="1" w:styleId="Bodytextprebullet">
    <w:name w:val="Body text pre bullet"/>
    <w:basedOn w:val="Normal"/>
    <w:qFormat/>
    <w:rsid w:val="008678BF"/>
    <w:pPr>
      <w:keepNext/>
    </w:pPr>
    <w:rPr>
      <w:color w:val="000000" w:themeColor="text1"/>
    </w:rPr>
  </w:style>
  <w:style w:type="paragraph" w:styleId="Quote">
    <w:name w:val="Quote"/>
    <w:basedOn w:val="Normal"/>
    <w:next w:val="Normal"/>
    <w:link w:val="QuoteChar"/>
    <w:uiPriority w:val="29"/>
    <w:qFormat/>
    <w:rsid w:val="009D3AD0"/>
    <w:pPr>
      <w:ind w:left="720" w:right="720"/>
    </w:pPr>
    <w:rPr>
      <w:i/>
      <w:iCs/>
      <w:color w:val="000000" w:themeColor="text1"/>
    </w:rPr>
  </w:style>
  <w:style w:type="character" w:customStyle="1" w:styleId="QuoteChar">
    <w:name w:val="Quote Char"/>
    <w:basedOn w:val="DefaultParagraphFont"/>
    <w:link w:val="Quote"/>
    <w:uiPriority w:val="29"/>
    <w:rsid w:val="009D3AD0"/>
    <w:rPr>
      <w:rFonts w:ascii="Arial" w:hAnsi="Arial"/>
      <w:i/>
      <w:iCs/>
      <w:color w:val="000000" w:themeColor="text1"/>
      <w:sz w:val="20"/>
    </w:rPr>
  </w:style>
  <w:style w:type="paragraph" w:customStyle="1" w:styleId="Comment">
    <w:name w:val="Comment"/>
    <w:basedOn w:val="Normal"/>
    <w:next w:val="Normal"/>
    <w:qFormat/>
    <w:rsid w:val="00F544FF"/>
    <w:rPr>
      <w:b/>
      <w:color w:val="833C0B" w:themeColor="accent2" w:themeShade="80"/>
    </w:rPr>
  </w:style>
  <w:style w:type="table" w:customStyle="1" w:styleId="LightShading-Accent1">
    <w:name w:val="Light Shading Accent 1"/>
    <w:basedOn w:val="TableNormal"/>
    <w:uiPriority w:val="60"/>
    <w:rsid w:val="00F50FFC"/>
    <w:pPr>
      <w:spacing w:before="0"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Grid2-Accent1">
    <w:name w:val="Medium Grid 2 Accent 1"/>
    <w:basedOn w:val="TableNormal"/>
    <w:uiPriority w:val="68"/>
    <w:rsid w:val="00D612F6"/>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DarkList-Accent1">
    <w:name w:val="Dark List Accent 1"/>
    <w:basedOn w:val="TableNormal"/>
    <w:uiPriority w:val="70"/>
    <w:rsid w:val="00D612F6"/>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paragraph" w:styleId="Bibliography">
    <w:name w:val="Bibliography"/>
    <w:basedOn w:val="Normal"/>
    <w:uiPriority w:val="37"/>
    <w:unhideWhenUsed/>
    <w:qFormat/>
    <w:rsid w:val="00E826B8"/>
    <w:pPr>
      <w:spacing w:before="60" w:after="60" w:line="240" w:lineRule="auto"/>
      <w:ind w:left="720" w:hanging="720"/>
    </w:pPr>
    <w:rPr>
      <w:rFonts w:asciiTheme="minorHAnsi" w:hAnsiTheme="minorHAnsi"/>
    </w:rPr>
  </w:style>
  <w:style w:type="paragraph" w:styleId="TOCHeading">
    <w:name w:val="TOC Heading"/>
    <w:basedOn w:val="Heading1"/>
    <w:next w:val="Normal"/>
    <w:uiPriority w:val="39"/>
    <w:unhideWhenUsed/>
    <w:qFormat/>
    <w:rsid w:val="000D1212"/>
    <w:pPr>
      <w:numPr>
        <w:numId w:val="0"/>
      </w:numPr>
      <w:spacing w:before="480" w:after="0" w:line="276" w:lineRule="auto"/>
      <w:jc w:val="left"/>
      <w:outlineLvl w:val="9"/>
    </w:pPr>
    <w:rPr>
      <w:rFonts w:asciiTheme="majorHAnsi" w:hAnsiTheme="majorHAnsi"/>
      <w:bCs/>
      <w:sz w:val="28"/>
      <w:szCs w:val="28"/>
      <w:lang w:val="en-US"/>
    </w:rPr>
  </w:style>
  <w:style w:type="paragraph" w:styleId="TOC2">
    <w:name w:val="toc 2"/>
    <w:basedOn w:val="Normal"/>
    <w:next w:val="Normal"/>
    <w:autoRedefine/>
    <w:uiPriority w:val="39"/>
    <w:unhideWhenUsed/>
    <w:rsid w:val="000D1212"/>
    <w:pPr>
      <w:spacing w:after="100"/>
      <w:ind w:left="200"/>
    </w:pPr>
  </w:style>
  <w:style w:type="paragraph" w:styleId="Caption">
    <w:name w:val="caption"/>
    <w:basedOn w:val="Normal"/>
    <w:next w:val="Normal"/>
    <w:uiPriority w:val="35"/>
    <w:unhideWhenUsed/>
    <w:qFormat/>
    <w:rsid w:val="000D1212"/>
    <w:pPr>
      <w:spacing w:before="0" w:after="200" w:line="240" w:lineRule="auto"/>
      <w:jc w:val="center"/>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345638557">
      <w:bodyDiv w:val="1"/>
      <w:marLeft w:val="0"/>
      <w:marRight w:val="0"/>
      <w:marTop w:val="0"/>
      <w:marBottom w:val="0"/>
      <w:divBdr>
        <w:top w:val="none" w:sz="0" w:space="0" w:color="auto"/>
        <w:left w:val="none" w:sz="0" w:space="0" w:color="auto"/>
        <w:bottom w:val="none" w:sz="0" w:space="0" w:color="auto"/>
        <w:right w:val="none" w:sz="0" w:space="0" w:color="auto"/>
      </w:divBdr>
      <w:divsChild>
        <w:div w:id="88890622">
          <w:marLeft w:val="0"/>
          <w:marRight w:val="0"/>
          <w:marTop w:val="0"/>
          <w:marBottom w:val="0"/>
          <w:divBdr>
            <w:top w:val="none" w:sz="0" w:space="0" w:color="auto"/>
            <w:left w:val="none" w:sz="0" w:space="0" w:color="auto"/>
            <w:bottom w:val="none" w:sz="0" w:space="0" w:color="auto"/>
            <w:right w:val="none" w:sz="0" w:space="0" w:color="auto"/>
          </w:divBdr>
        </w:div>
        <w:div w:id="307176126">
          <w:marLeft w:val="0"/>
          <w:marRight w:val="0"/>
          <w:marTop w:val="0"/>
          <w:marBottom w:val="0"/>
          <w:divBdr>
            <w:top w:val="none" w:sz="0" w:space="0" w:color="auto"/>
            <w:left w:val="none" w:sz="0" w:space="0" w:color="auto"/>
            <w:bottom w:val="none" w:sz="0" w:space="0" w:color="auto"/>
            <w:right w:val="none" w:sz="0" w:space="0" w:color="auto"/>
          </w:divBdr>
        </w:div>
        <w:div w:id="1628926754">
          <w:marLeft w:val="0"/>
          <w:marRight w:val="0"/>
          <w:marTop w:val="0"/>
          <w:marBottom w:val="0"/>
          <w:divBdr>
            <w:top w:val="none" w:sz="0" w:space="0" w:color="auto"/>
            <w:left w:val="none" w:sz="0" w:space="0" w:color="auto"/>
            <w:bottom w:val="none" w:sz="0" w:space="0" w:color="auto"/>
            <w:right w:val="none" w:sz="0" w:space="0" w:color="auto"/>
          </w:divBdr>
        </w:div>
        <w:div w:id="140344503">
          <w:marLeft w:val="0"/>
          <w:marRight w:val="0"/>
          <w:marTop w:val="0"/>
          <w:marBottom w:val="0"/>
          <w:divBdr>
            <w:top w:val="none" w:sz="0" w:space="0" w:color="auto"/>
            <w:left w:val="none" w:sz="0" w:space="0" w:color="auto"/>
            <w:bottom w:val="none" w:sz="0" w:space="0" w:color="auto"/>
            <w:right w:val="none" w:sz="0" w:space="0" w:color="auto"/>
          </w:divBdr>
        </w:div>
        <w:div w:id="705252284">
          <w:marLeft w:val="0"/>
          <w:marRight w:val="0"/>
          <w:marTop w:val="0"/>
          <w:marBottom w:val="0"/>
          <w:divBdr>
            <w:top w:val="none" w:sz="0" w:space="0" w:color="auto"/>
            <w:left w:val="none" w:sz="0" w:space="0" w:color="auto"/>
            <w:bottom w:val="none" w:sz="0" w:space="0" w:color="auto"/>
            <w:right w:val="none" w:sz="0" w:space="0" w:color="auto"/>
          </w:divBdr>
        </w:div>
        <w:div w:id="2135517449">
          <w:marLeft w:val="0"/>
          <w:marRight w:val="0"/>
          <w:marTop w:val="0"/>
          <w:marBottom w:val="0"/>
          <w:divBdr>
            <w:top w:val="none" w:sz="0" w:space="0" w:color="auto"/>
            <w:left w:val="none" w:sz="0" w:space="0" w:color="auto"/>
            <w:bottom w:val="none" w:sz="0" w:space="0" w:color="auto"/>
            <w:right w:val="none" w:sz="0" w:space="0" w:color="auto"/>
          </w:divBdr>
        </w:div>
        <w:div w:id="879780220">
          <w:marLeft w:val="0"/>
          <w:marRight w:val="0"/>
          <w:marTop w:val="0"/>
          <w:marBottom w:val="0"/>
          <w:divBdr>
            <w:top w:val="none" w:sz="0" w:space="0" w:color="auto"/>
            <w:left w:val="none" w:sz="0" w:space="0" w:color="auto"/>
            <w:bottom w:val="none" w:sz="0" w:space="0" w:color="auto"/>
            <w:right w:val="none" w:sz="0" w:space="0" w:color="auto"/>
          </w:divBdr>
        </w:div>
        <w:div w:id="2052339619">
          <w:marLeft w:val="0"/>
          <w:marRight w:val="0"/>
          <w:marTop w:val="0"/>
          <w:marBottom w:val="0"/>
          <w:divBdr>
            <w:top w:val="none" w:sz="0" w:space="0" w:color="auto"/>
            <w:left w:val="none" w:sz="0" w:space="0" w:color="auto"/>
            <w:bottom w:val="none" w:sz="0" w:space="0" w:color="auto"/>
            <w:right w:val="none" w:sz="0" w:space="0" w:color="auto"/>
          </w:divBdr>
        </w:div>
        <w:div w:id="2088960801">
          <w:marLeft w:val="0"/>
          <w:marRight w:val="0"/>
          <w:marTop w:val="0"/>
          <w:marBottom w:val="0"/>
          <w:divBdr>
            <w:top w:val="none" w:sz="0" w:space="0" w:color="auto"/>
            <w:left w:val="none" w:sz="0" w:space="0" w:color="auto"/>
            <w:bottom w:val="none" w:sz="0" w:space="0" w:color="auto"/>
            <w:right w:val="none" w:sz="0" w:space="0" w:color="auto"/>
          </w:divBdr>
        </w:div>
        <w:div w:id="107430356">
          <w:marLeft w:val="0"/>
          <w:marRight w:val="0"/>
          <w:marTop w:val="0"/>
          <w:marBottom w:val="0"/>
          <w:divBdr>
            <w:top w:val="none" w:sz="0" w:space="0" w:color="auto"/>
            <w:left w:val="none" w:sz="0" w:space="0" w:color="auto"/>
            <w:bottom w:val="none" w:sz="0" w:space="0" w:color="auto"/>
            <w:right w:val="none" w:sz="0" w:space="0" w:color="auto"/>
          </w:divBdr>
        </w:div>
        <w:div w:id="1981229813">
          <w:marLeft w:val="0"/>
          <w:marRight w:val="0"/>
          <w:marTop w:val="0"/>
          <w:marBottom w:val="0"/>
          <w:divBdr>
            <w:top w:val="none" w:sz="0" w:space="0" w:color="auto"/>
            <w:left w:val="none" w:sz="0" w:space="0" w:color="auto"/>
            <w:bottom w:val="none" w:sz="0" w:space="0" w:color="auto"/>
            <w:right w:val="none" w:sz="0" w:space="0" w:color="auto"/>
          </w:divBdr>
        </w:div>
        <w:div w:id="270019827">
          <w:marLeft w:val="0"/>
          <w:marRight w:val="0"/>
          <w:marTop w:val="0"/>
          <w:marBottom w:val="0"/>
          <w:divBdr>
            <w:top w:val="none" w:sz="0" w:space="0" w:color="auto"/>
            <w:left w:val="none" w:sz="0" w:space="0" w:color="auto"/>
            <w:bottom w:val="none" w:sz="0" w:space="0" w:color="auto"/>
            <w:right w:val="none" w:sz="0" w:space="0" w:color="auto"/>
          </w:divBdr>
        </w:div>
        <w:div w:id="2117796529">
          <w:marLeft w:val="0"/>
          <w:marRight w:val="0"/>
          <w:marTop w:val="0"/>
          <w:marBottom w:val="0"/>
          <w:divBdr>
            <w:top w:val="none" w:sz="0" w:space="0" w:color="auto"/>
            <w:left w:val="none" w:sz="0" w:space="0" w:color="auto"/>
            <w:bottom w:val="none" w:sz="0" w:space="0" w:color="auto"/>
            <w:right w:val="none" w:sz="0" w:space="0" w:color="auto"/>
          </w:divBdr>
        </w:div>
        <w:div w:id="1364356333">
          <w:marLeft w:val="0"/>
          <w:marRight w:val="0"/>
          <w:marTop w:val="0"/>
          <w:marBottom w:val="0"/>
          <w:divBdr>
            <w:top w:val="none" w:sz="0" w:space="0" w:color="auto"/>
            <w:left w:val="none" w:sz="0" w:space="0" w:color="auto"/>
            <w:bottom w:val="none" w:sz="0" w:space="0" w:color="auto"/>
            <w:right w:val="none" w:sz="0" w:space="0" w:color="auto"/>
          </w:divBdr>
        </w:div>
        <w:div w:id="1690180518">
          <w:marLeft w:val="0"/>
          <w:marRight w:val="0"/>
          <w:marTop w:val="0"/>
          <w:marBottom w:val="0"/>
          <w:divBdr>
            <w:top w:val="none" w:sz="0" w:space="0" w:color="auto"/>
            <w:left w:val="none" w:sz="0" w:space="0" w:color="auto"/>
            <w:bottom w:val="none" w:sz="0" w:space="0" w:color="auto"/>
            <w:right w:val="none" w:sz="0" w:space="0" w:color="auto"/>
          </w:divBdr>
        </w:div>
        <w:div w:id="1326590513">
          <w:marLeft w:val="0"/>
          <w:marRight w:val="0"/>
          <w:marTop w:val="0"/>
          <w:marBottom w:val="0"/>
          <w:divBdr>
            <w:top w:val="none" w:sz="0" w:space="0" w:color="auto"/>
            <w:left w:val="none" w:sz="0" w:space="0" w:color="auto"/>
            <w:bottom w:val="none" w:sz="0" w:space="0" w:color="auto"/>
            <w:right w:val="none" w:sz="0" w:space="0" w:color="auto"/>
          </w:divBdr>
        </w:div>
        <w:div w:id="944464994">
          <w:marLeft w:val="0"/>
          <w:marRight w:val="0"/>
          <w:marTop w:val="0"/>
          <w:marBottom w:val="0"/>
          <w:divBdr>
            <w:top w:val="none" w:sz="0" w:space="0" w:color="auto"/>
            <w:left w:val="none" w:sz="0" w:space="0" w:color="auto"/>
            <w:bottom w:val="none" w:sz="0" w:space="0" w:color="auto"/>
            <w:right w:val="none" w:sz="0" w:space="0" w:color="auto"/>
          </w:divBdr>
        </w:div>
        <w:div w:id="541672261">
          <w:marLeft w:val="0"/>
          <w:marRight w:val="0"/>
          <w:marTop w:val="0"/>
          <w:marBottom w:val="0"/>
          <w:divBdr>
            <w:top w:val="none" w:sz="0" w:space="0" w:color="auto"/>
            <w:left w:val="none" w:sz="0" w:space="0" w:color="auto"/>
            <w:bottom w:val="none" w:sz="0" w:space="0" w:color="auto"/>
            <w:right w:val="none" w:sz="0" w:space="0" w:color="auto"/>
          </w:divBdr>
        </w:div>
        <w:div w:id="1358965342">
          <w:marLeft w:val="0"/>
          <w:marRight w:val="0"/>
          <w:marTop w:val="0"/>
          <w:marBottom w:val="0"/>
          <w:divBdr>
            <w:top w:val="none" w:sz="0" w:space="0" w:color="auto"/>
            <w:left w:val="none" w:sz="0" w:space="0" w:color="auto"/>
            <w:bottom w:val="none" w:sz="0" w:space="0" w:color="auto"/>
            <w:right w:val="none" w:sz="0" w:space="0" w:color="auto"/>
          </w:divBdr>
        </w:div>
        <w:div w:id="1858956711">
          <w:marLeft w:val="0"/>
          <w:marRight w:val="0"/>
          <w:marTop w:val="0"/>
          <w:marBottom w:val="0"/>
          <w:divBdr>
            <w:top w:val="none" w:sz="0" w:space="0" w:color="auto"/>
            <w:left w:val="none" w:sz="0" w:space="0" w:color="auto"/>
            <w:bottom w:val="none" w:sz="0" w:space="0" w:color="auto"/>
            <w:right w:val="none" w:sz="0" w:space="0" w:color="auto"/>
          </w:divBdr>
        </w:div>
        <w:div w:id="1038621464">
          <w:marLeft w:val="0"/>
          <w:marRight w:val="0"/>
          <w:marTop w:val="0"/>
          <w:marBottom w:val="0"/>
          <w:divBdr>
            <w:top w:val="none" w:sz="0" w:space="0" w:color="auto"/>
            <w:left w:val="none" w:sz="0" w:space="0" w:color="auto"/>
            <w:bottom w:val="none" w:sz="0" w:space="0" w:color="auto"/>
            <w:right w:val="none" w:sz="0" w:space="0" w:color="auto"/>
          </w:divBdr>
        </w:div>
        <w:div w:id="1940941732">
          <w:marLeft w:val="0"/>
          <w:marRight w:val="0"/>
          <w:marTop w:val="0"/>
          <w:marBottom w:val="0"/>
          <w:divBdr>
            <w:top w:val="none" w:sz="0" w:space="0" w:color="auto"/>
            <w:left w:val="none" w:sz="0" w:space="0" w:color="auto"/>
            <w:bottom w:val="none" w:sz="0" w:space="0" w:color="auto"/>
            <w:right w:val="none" w:sz="0" w:space="0" w:color="auto"/>
          </w:divBdr>
        </w:div>
      </w:divsChild>
    </w:div>
    <w:div w:id="439646239">
      <w:bodyDiv w:val="1"/>
      <w:marLeft w:val="0"/>
      <w:marRight w:val="0"/>
      <w:marTop w:val="0"/>
      <w:marBottom w:val="0"/>
      <w:divBdr>
        <w:top w:val="none" w:sz="0" w:space="0" w:color="auto"/>
        <w:left w:val="none" w:sz="0" w:space="0" w:color="auto"/>
        <w:bottom w:val="none" w:sz="0" w:space="0" w:color="auto"/>
        <w:right w:val="none" w:sz="0" w:space="0" w:color="auto"/>
      </w:divBdr>
    </w:div>
    <w:div w:id="602493951">
      <w:bodyDiv w:val="1"/>
      <w:marLeft w:val="0"/>
      <w:marRight w:val="0"/>
      <w:marTop w:val="0"/>
      <w:marBottom w:val="0"/>
      <w:divBdr>
        <w:top w:val="none" w:sz="0" w:space="0" w:color="auto"/>
        <w:left w:val="none" w:sz="0" w:space="0" w:color="auto"/>
        <w:bottom w:val="none" w:sz="0" w:space="0" w:color="auto"/>
        <w:right w:val="none" w:sz="0" w:space="0" w:color="auto"/>
      </w:divBdr>
    </w:div>
    <w:div w:id="863709631">
      <w:bodyDiv w:val="1"/>
      <w:marLeft w:val="0"/>
      <w:marRight w:val="0"/>
      <w:marTop w:val="0"/>
      <w:marBottom w:val="0"/>
      <w:divBdr>
        <w:top w:val="none" w:sz="0" w:space="0" w:color="auto"/>
        <w:left w:val="none" w:sz="0" w:space="0" w:color="auto"/>
        <w:bottom w:val="none" w:sz="0" w:space="0" w:color="auto"/>
        <w:right w:val="none" w:sz="0" w:space="0" w:color="auto"/>
      </w:divBdr>
    </w:div>
    <w:div w:id="972293552">
      <w:bodyDiv w:val="1"/>
      <w:marLeft w:val="0"/>
      <w:marRight w:val="0"/>
      <w:marTop w:val="0"/>
      <w:marBottom w:val="0"/>
      <w:divBdr>
        <w:top w:val="none" w:sz="0" w:space="0" w:color="auto"/>
        <w:left w:val="none" w:sz="0" w:space="0" w:color="auto"/>
        <w:bottom w:val="none" w:sz="0" w:space="0" w:color="auto"/>
        <w:right w:val="none" w:sz="0" w:space="0" w:color="auto"/>
      </w:divBdr>
      <w:divsChild>
        <w:div w:id="133527831">
          <w:marLeft w:val="0"/>
          <w:marRight w:val="0"/>
          <w:marTop w:val="0"/>
          <w:marBottom w:val="0"/>
          <w:divBdr>
            <w:top w:val="none" w:sz="0" w:space="0" w:color="auto"/>
            <w:left w:val="none" w:sz="0" w:space="0" w:color="auto"/>
            <w:bottom w:val="none" w:sz="0" w:space="0" w:color="auto"/>
            <w:right w:val="none" w:sz="0" w:space="0" w:color="auto"/>
          </w:divBdr>
        </w:div>
        <w:div w:id="221915120">
          <w:marLeft w:val="0"/>
          <w:marRight w:val="0"/>
          <w:marTop w:val="0"/>
          <w:marBottom w:val="0"/>
          <w:divBdr>
            <w:top w:val="none" w:sz="0" w:space="0" w:color="auto"/>
            <w:left w:val="none" w:sz="0" w:space="0" w:color="auto"/>
            <w:bottom w:val="none" w:sz="0" w:space="0" w:color="auto"/>
            <w:right w:val="none" w:sz="0" w:space="0" w:color="auto"/>
          </w:divBdr>
        </w:div>
      </w:divsChild>
    </w:div>
    <w:div w:id="129370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bginvestmentclimate.org/uploads/Gender%20Dimensions%20of%20Investment%20Climate%20Reform.pdf"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pcw.gov.ph/gw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InfoPath Form Template" ma:contentTypeID="0x010100F8EF98760CBA4A94994F13BA881038FA00BECFA538FB235C4386CD5D135E035A4D" ma:contentTypeVersion="1" ma:contentTypeDescription="A Microsoft Office InfoPath Form Template." ma:contentTypeScope="" ma:versionID="f6582e324578d9995fcf693960def2fb">
  <xsd:schema xmlns:xsd="http://www.w3.org/2001/XMLSchema" xmlns:p="http://schemas.microsoft.com/office/2006/metadata/properties" xmlns:ns2="fd975e69-8151-4fca-a632-77d9cf598ed0" targetNamespace="http://schemas.microsoft.com/office/2006/metadata/properties" ma:root="true" ma:fieldsID="9348d4e838afb5833b6dc965be496413" ns2:_="">
    <xsd:import namespace="fd975e69-8151-4fca-a632-77d9cf598ed0"/>
    <xsd:element name="properties">
      <xsd:complexType>
        <xsd:sequence>
          <xsd:element name="documentManagement">
            <xsd:complexType>
              <xsd:all>
                <xsd:element ref="ns2:FormName" minOccurs="0"/>
                <xsd:element ref="ns2:FormCategory" minOccurs="0"/>
                <xsd:element ref="ns2:FormVersion" minOccurs="0"/>
                <xsd:element ref="ns2:FormId" minOccurs="0"/>
                <xsd:element ref="ns2:FormLocale" minOccurs="0"/>
                <xsd:element ref="ns2:FormDescription" minOccurs="0"/>
                <xsd:element ref="ns2:CustomContentTypeId" minOccurs="0"/>
                <xsd:element ref="ns2:ShowInCatalog" minOccurs="0"/>
              </xsd:all>
            </xsd:complexType>
          </xsd:element>
        </xsd:sequence>
      </xsd:complexType>
    </xsd:element>
  </xsd:schema>
  <xsd:schema xmlns:xsd="http://www.w3.org/2001/XMLSchema" xmlns:dms="http://schemas.microsoft.com/office/2006/documentManagement/types" targetNamespace="fd975e69-8151-4fca-a632-77d9cf598ed0" elementFormDefault="qualified">
    <xsd:import namespace="http://schemas.microsoft.com/office/2006/documentManagement/types"/>
    <xsd:element name="FormName" ma:index="8" nillable="true" ma:displayName="Form Name" ma:internalName="FormName">
      <xsd:simpleType>
        <xsd:restriction base="dms:Text"/>
      </xsd:simpleType>
    </xsd:element>
    <xsd:element name="FormCategory" ma:index="9" nillable="true" ma:displayName="Form Category" ma:internalName="FormCategory">
      <xsd:simpleType>
        <xsd:restriction base="dms:Text"/>
      </xsd:simpleType>
    </xsd:element>
    <xsd:element name="FormVersion" ma:index="10" nillable="true" ma:displayName="Form Version" ma:internalName="FormVersion">
      <xsd:simpleType>
        <xsd:restriction base="dms:Text"/>
      </xsd:simpleType>
    </xsd:element>
    <xsd:element name="FormId" ma:index="11" nillable="true" ma:displayName="Form ID" ma:internalName="FormId">
      <xsd:simpleType>
        <xsd:restriction base="dms:Text"/>
      </xsd:simpleType>
    </xsd:element>
    <xsd:element name="FormLocale" ma:index="12" nillable="true" ma:displayName="Form Locale" ma:internalName="FormLocale">
      <xsd:simpleType>
        <xsd:restriction base="dms:Text"/>
      </xsd:simpleType>
    </xsd:element>
    <xsd:element name="FormDescription" ma:index="13" nillable="true" ma:displayName="Form Description" ma:internalName="FormDescription">
      <xsd:simpleType>
        <xsd:restriction base="dms:Text"/>
      </xsd:simpleType>
    </xsd:element>
    <xsd:element name="CustomContentTypeId" ma:index="14" nillable="true" ma:displayName="Content Type ID" ma:hidden="true" ma:internalName="CustomContentTypeId">
      <xsd:simpleType>
        <xsd:restriction base="dms:Text"/>
      </xsd:simpleType>
    </xsd:element>
    <xsd:element name="ShowInCatalog" ma:index="15" nillable="true" ma:displayName="Show in Catalog" ma:default="TRUE" ma:internalName="ShowInCatalog">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FormDescription xmlns="fd975e69-8151-4fca-a632-77d9cf598ed0" xsi:nil="true"/>
    <FormName xmlns="fd975e69-8151-4fca-a632-77d9cf598ed0" xsi:nil="true"/>
    <FormId xmlns="fd975e69-8151-4fca-a632-77d9cf598ed0" xsi:nil="true"/>
    <ShowInCatalog xmlns="fd975e69-8151-4fca-a632-77d9cf598ed0">true</ShowInCatalog>
    <FormCategory xmlns="fd975e69-8151-4fca-a632-77d9cf598ed0" xsi:nil="true"/>
    <FormVersion xmlns="fd975e69-8151-4fca-a632-77d9cf598ed0" xsi:nil="true"/>
    <FormLocale xmlns="fd975e69-8151-4fca-a632-77d9cf598ed0" xsi:nil="true"/>
    <CustomContentTypeId xmlns="fd975e69-8151-4fca-a632-77d9cf598ed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45A2-C1DB-4B30-8F19-C18995E08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975e69-8151-4fca-a632-77d9cf598ed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490E40C-31E2-42ED-BEA5-38495E7FACF2}">
  <ds:schemaRefs>
    <ds:schemaRef ds:uri="http://schemas.microsoft.com/sharepoint/v3/contenttype/forms"/>
  </ds:schemaRefs>
</ds:datastoreItem>
</file>

<file path=customXml/itemProps3.xml><?xml version="1.0" encoding="utf-8"?>
<ds:datastoreItem xmlns:ds="http://schemas.openxmlformats.org/officeDocument/2006/customXml" ds:itemID="{B89664EB-D22E-4883-B53B-642FE1EAAD55}">
  <ds:schemaRefs>
    <ds:schemaRef ds:uri="http://schemas.microsoft.com/office/2006/metadata/properties"/>
    <ds:schemaRef ds:uri="fd975e69-8151-4fca-a632-77d9cf598ed0"/>
  </ds:schemaRefs>
</ds:datastoreItem>
</file>

<file path=customXml/itemProps4.xml><?xml version="1.0" encoding="utf-8"?>
<ds:datastoreItem xmlns:ds="http://schemas.openxmlformats.org/officeDocument/2006/customXml" ds:itemID="{A3E6A0D7-8D6F-4D6E-9030-D6097A13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2957</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KPMG UK LLP</Company>
  <LinksUpToDate>false</LinksUpToDate>
  <CharactersWithSpaces>19779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KPMG UK LLP</dc:creator>
  <cp:lastModifiedBy>slack</cp:lastModifiedBy>
  <cp:revision>16</cp:revision>
  <cp:lastPrinted>2016-05-30T19:01:00Z</cp:lastPrinted>
  <dcterms:created xsi:type="dcterms:W3CDTF">2016-06-15T12:32:00Z</dcterms:created>
  <dcterms:modified xsi:type="dcterms:W3CDTF">2016-06-15T15:23:00Z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0x010100F8EF98760CBA4A94994F13BA881038FA00BECFA538FB235C4386CD5D135E035A4D</vt:lpwstr>
  </property>
</Properties>
</file>