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C0392B"/>
          <w:spacing w:val="80"/>
          <w:sz w:val="18"/>
          <w:szCs w:val="18"/>
        </w:rPr>
        <w:t xml:space="preserve">INTERNAL — CONFIDENTIAL</w:t>
      </w:r>
    </w:p>
    <w:p>
      <w:pPr>
        <w:pBdr>
          <w:bottom w:val="single" w:color="1E3A5F" w:sz="12" w:space="8"/>
        </w:pBdr>
        <w:spacing w:after="80" w:before="80"/>
      </w:pPr>
      <w:r>
        <w:rPr>
          <w:rFonts w:ascii="Arial" w:cs="Arial" w:eastAsia="Arial" w:hAnsi="Arial"/>
          <w:b/>
          <w:bCs/>
          <w:color w:val="1E3A5F"/>
          <w:sz w:val="52"/>
          <w:szCs w:val="52"/>
        </w:rPr>
        <w:t xml:space="preserve">Governing AI at Speed</w:t>
      </w:r>
    </w:p>
    <w:p>
      <w:pPr>
        <w:spacing w:after="80" w:before="120"/>
      </w:pPr>
      <w:r>
        <w:rPr>
          <w:rFonts w:ascii="Arial" w:cs="Arial" w:eastAsia="Arial" w:hAnsi="Arial"/>
          <w:i/>
          <w:iCs/>
          <w:color w:val="2C3E50"/>
          <w:sz w:val="26"/>
          <w:szCs w:val="26"/>
        </w:rPr>
        <w:t xml:space="preserve">The case for a governed orchestration layer before enterprise AI adoption creates the risks it was meant to prevent</w:t>
      </w:r>
    </w:p>
    <w:p>
      <w:pPr>
        <w:spacing w:after="480" w:before="80"/>
      </w:pPr>
      <w:r>
        <w:rPr>
          <w:rFonts w:ascii="Arial" w:cs="Arial" w:eastAsia="Arial" w:hAnsi="Arial"/>
          <w:color w:val="999999"/>
          <w:sz w:val="20"/>
          <w:szCs w:val="20"/>
        </w:rPr>
        <w:t xml:space="preserve">March 2026  —  Prepared for internal review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EBF0F8" w:val="clear"/>
            <w:tcMar>
              <w:top w:type="dxa" w:w="200"/>
              <w:left w:type="dxa" w:w="240"/>
              <w:bottom w:type="dxa" w:w="200"/>
              <w:right w:type="dxa" w:w="240"/>
            </w:tcMar>
          </w:tcPr>
          <w:p>
            <w:pPr>
              <w:spacing w:after="80" w:before="40"/>
            </w:pPr>
            <w:r>
              <w:rPr>
                <w:rFonts w:ascii="Arial" w:cs="Arial" w:eastAsia="Arial" w:hAnsi="Arial"/>
                <w:b/>
                <w:bCs/>
                <w:color w:val="1E3A5F"/>
                <w:sz w:val="22"/>
                <w:szCs w:val="22"/>
              </w:rPr>
              <w:t xml:space="preserve">Executive summary</w:t>
            </w:r>
          </w:p>
          <w:p>
            <w:pPr>
              <w:spacing w:after="60" w:before="40"/>
            </w:pPr>
            <w:r>
              <w:rPr>
                <w:rFonts w:ascii="Arial" w:cs="Arial" w:eastAsia="Arial" w:hAnsi="Arial"/>
                <w:color w:val="2C3E50"/>
                <w:sz w:val="22"/>
                <w:szCs w:val="22"/>
              </w:rPr>
              <w:t xml:space="preserve">We are rolling out Claude and agentic AI tools to product staff across the organisation. Without a governance layer, this follows a well-documented failure pattern: ungoverned tool use leads to data exposure, executive response triggers a blanket ban, usage goes underground as shadow AI, and the organisation loses 3–6 months rebuilding the governed platform it should have built first.</w:t>
            </w:r>
          </w:p>
          <w:p>
            <w:pPr>
              <w:spacing w:after="40" w:before="60"/>
            </w:pPr>
            <w:r>
              <w:rPr>
                <w:rFonts w:ascii="Arial" w:cs="Arial" w:eastAsia="Arial" w:hAnsi="Arial"/>
                <w:color w:val="2C3E50"/>
                <w:sz w:val="22"/>
                <w:szCs w:val="22"/>
              </w:rPr>
              <w:t xml:space="preserve">This paper sets out the evidence for building a governed orchestration layer — SoRR Control — before that cycle plays out. The case is made first to the security team, whose risk framing it directly addresses, and then to product leadership, for whom it is reframed as a deployment accelerator, not a constraint.</w:t>
            </w:r>
          </w:p>
        </w:tc>
      </w:tr>
    </w:tbl>
    <w:p>
      <w:pPr>
        <w:spacing w:after="60" w:before="60"/>
      </w:pPr>
      <w:r>
        <w:t xml:space="preserve"/>
      </w:r>
    </w:p>
    <w:p>
      <w:pPr>
        <w:pStyle w:val="Heading1"/>
        <w:pBdr>
          <w:bottom w:val="single" w:color="1E3A5F" w:sz="8" w:space="6"/>
        </w:pBdr>
        <w:spacing w:after="160" w:before="360"/>
      </w:pPr>
      <w:r>
        <w:rPr>
          <w:rFonts w:ascii="Arial" w:cs="Arial" w:eastAsia="Arial" w:hAnsi="Arial"/>
          <w:b/>
          <w:bCs/>
          <w:color w:val="1E3A5F"/>
          <w:sz w:val="32"/>
          <w:szCs w:val="32"/>
        </w:rPr>
        <w:t xml:space="preserve">1. The problem: AI rollout without a control layer</w:t>
      </w:r>
    </w:p>
    <w:p>
      <w:pPr>
        <w:spacing w:after="120" w:before="80"/>
      </w:pPr>
      <w:r>
        <w:rPr>
          <w:rFonts w:ascii="Arial" w:cs="Arial" w:eastAsia="Arial" w:hAnsi="Arial"/>
          <w:color w:val="2C3E50"/>
          <w:sz w:val="22"/>
          <w:szCs w:val="22"/>
        </w:rPr>
        <w:t xml:space="preserve">Enterprise AI adoption in SaaS organisations is accelerating rapidly. The pressure to ship AI-powered features, automate internal workflows, and equip staff with AI productivity tools is real and justified. What is equally real, and frequently underweighted, is the structural risk created when that adoption happens without a policy layer governing what employees can do, what systems they can touch, and what outputs can leave the organisation.</w:t>
      </w:r>
    </w:p>
    <w:p>
      <w:pPr>
        <w:spacing w:after="120" w:before="80"/>
      </w:pPr>
      <w:r>
        <w:rPr>
          <w:rFonts w:ascii="Arial" w:cs="Arial" w:eastAsia="Arial" w:hAnsi="Arial"/>
          <w:color w:val="2C3E50"/>
          <w:sz w:val="22"/>
          <w:szCs w:val="22"/>
        </w:rPr>
        <w:t xml:space="preserve">The failure pattern is consistent enough across industries to have a name.</w:t>
      </w:r>
    </w:p>
    <w:p>
      <w:pPr>
        <w:spacing w:after="60" w:before="60"/>
      </w:pPr>
      <w:r>
        <w:t xml:space="preserve"/>
      </w:r>
    </w:p>
    <w:p>
      <w:pPr>
        <w:pStyle w:val="Heading2"/>
        <w:spacing w:after="120" w:before="280"/>
      </w:pPr>
      <w:r>
        <w:rPr>
          <w:rFonts w:ascii="Arial" w:cs="Arial" w:eastAsia="Arial" w:hAnsi="Arial"/>
          <w:b/>
          <w:bCs/>
          <w:color w:val="1E3A5F"/>
          <w:sz w:val="26"/>
          <w:szCs w:val="26"/>
        </w:rPr>
        <w:t xml:space="preserve">The Chaos–Ban–Shadow cycle</w:t>
      </w:r>
    </w:p>
    <w:p>
      <w:pPr>
        <w:spacing w:after="120" w:before="80"/>
      </w:pPr>
      <w:r>
        <w:rPr>
          <w:rFonts w:ascii="Arial" w:cs="Arial" w:eastAsia="Arial" w:hAnsi="Arial"/>
          <w:color w:val="2C3E50"/>
          <w:sz w:val="22"/>
          <w:szCs w:val="22"/>
        </w:rPr>
        <w:t xml:space="preserve">When staff lack access to approved, governed AI tools that meet their productivity requirements, they use unapproved consumer alternatives. Proprietary data, customer PII, and intellectual property enter public models. An incident occurs or is discovered. Leadership issues a blanket ban. The ban fails — usage goes underground into untrackable shadow AI. Eventually, after regulatory inquiry or a more serious breach, the organisation builds the governed platform it should have built initially, having lost 3–6 months of productivity and competitive positioning in the process.</w:t>
      </w:r>
    </w:p>
    <w:p>
      <w:pPr>
        <w:spacing w:after="120" w:before="80"/>
      </w:pPr>
      <w:r>
        <w:rPr>
          <w:rFonts w:ascii="Arial" w:cs="Arial" w:eastAsia="Arial" w:hAnsi="Arial"/>
          <w:color w:val="2C3E50"/>
          <w:sz w:val="22"/>
          <w:szCs w:val="22"/>
        </w:rPr>
        <w:t xml:space="preserve">This is not a theoretical risk. It is the documented trajectory at Samsung, JPMorgan, Amazon, Apple, and Verizon, among others. All ultimately reversed their bans and built governed internal platforms.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C0392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w:t>
            </w:r>
          </w:p>
        </w:tc>
        <w:tc>
          <w:tcPr>
            <w:tcW w:type="dxa" w:w="8960"/>
            <w:tcBorders>
              <w:top w:val="single" w:color="D5D8DC" w:sz="1"/>
              <w:left w:val="single" w:color="D5D8DC" w:sz="1"/>
              <w:bottom w:val="single" w:color="D5D8DC" w:sz="1"/>
              <w:right w:val="single" w:color="D5D8DC" w:sz="1"/>
            </w:tcBorders>
            <w:shd w:fill="FBEAEA" w:val="clear"/>
            <w:tcMar>
              <w:top w:type="dxa" w:w="100"/>
              <w:left w:type="dxa" w:w="160"/>
              <w:bottom w:type="dxa" w:w="100"/>
              <w:right w:type="dxa" w:w="160"/>
            </w:tcMar>
          </w:tcPr>
          <w:p>
            <w:pPr>
              <w:spacing w:after="20" w:before="40"/>
            </w:pPr>
            <w:r>
              <w:rPr>
                <w:rFonts w:ascii="Arial" w:cs="Arial" w:eastAsia="Arial" w:hAnsi="Arial"/>
                <w:b/>
                <w:bCs/>
                <w:color w:val="C0392B"/>
                <w:sz w:val="20"/>
                <w:szCs w:val="20"/>
              </w:rPr>
              <w:t xml:space="preserve">The Samsung precedent</w:t>
            </w:r>
          </w:p>
          <w:p>
            <w:pPr>
              <w:spacing w:after="40" w:before="20"/>
            </w:pPr>
            <w:r>
              <w:rPr>
                <w:rFonts w:ascii="Arial" w:cs="Arial" w:eastAsia="Arial" w:hAnsi="Arial"/>
                <w:color w:val="2C3E50"/>
                <w:sz w:val="20"/>
                <w:szCs w:val="20"/>
              </w:rPr>
              <w:t xml:space="preserve">Samsung engineers uploaded proprietary semiconductor code, defect detection algorithms, and internal meeting transcripts to ChatGPT within 20 days of the tool becoming available internally. The company banned all generative AI. Within weeks, employees were using personal devices with no oversight whatsoever. Samsung eventually reversed course and built an internal governed platform — at significant cost and delay.</w:t>
            </w:r>
          </w:p>
        </w:tc>
      </w:tr>
    </w:tbl>
    <w:p>
      <w:pPr>
        <w:spacing w:after="60" w:before="60"/>
      </w:pPr>
      <w:r>
        <w:t xml:space="preserve"/>
      </w:r>
    </w:p>
    <w:p>
      <w:pPr>
        <w:pStyle w:val="Heading1"/>
        <w:pBdr>
          <w:bottom w:val="single" w:color="1E3A5F" w:sz="8" w:space="6"/>
        </w:pBdr>
        <w:spacing w:after="160" w:before="360"/>
      </w:pPr>
      <w:r>
        <w:rPr>
          <w:rFonts w:ascii="Arial" w:cs="Arial" w:eastAsia="Arial" w:hAnsi="Arial"/>
          <w:b/>
          <w:bCs/>
          <w:color w:val="1E3A5F"/>
          <w:sz w:val="32"/>
          <w:szCs w:val="32"/>
        </w:rPr>
        <w:t xml:space="preserve">2. The scale of shadow AI: what the data shows</w:t>
      </w:r>
    </w:p>
    <w:p>
      <w:pPr>
        <w:spacing w:after="120" w:before="80"/>
      </w:pPr>
      <w:r>
        <w:rPr>
          <w:rFonts w:ascii="Arial" w:cs="Arial" w:eastAsia="Arial" w:hAnsi="Arial"/>
          <w:color w:val="2C3E50"/>
          <w:sz w:val="22"/>
          <w:szCs w:val="22"/>
        </w:rPr>
        <w:t xml:space="preserve">Shadow AI is not an edge case. It is the current default state in most enterprise environments, and the financial consequences are now quantifiable.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F2F4F6" w:val="clear"/>
            <w:tcMar>
              <w:top w:type="dxa" w:w="160"/>
              <w:left w:type="dxa" w:w="160"/>
              <w:bottom w:type="dxa" w:w="160"/>
              <w:right w:type="dxa" w:w="160"/>
            </w:tcMar>
          </w:tcPr>
          <w:p>
            <w:pPr>
              <w:spacing w:after="40" w:before="40"/>
              <w:jc w:val="center"/>
            </w:pPr>
            <w:r>
              <w:rPr>
                <w:rFonts w:ascii="Arial" w:cs="Arial" w:eastAsia="Arial" w:hAnsi="Arial"/>
                <w:b/>
                <w:bCs/>
                <w:color w:val="C0392B"/>
                <w:sz w:val="44"/>
                <w:szCs w:val="44"/>
              </w:rPr>
              <w:t xml:space="preserve">98%</w:t>
            </w:r>
          </w:p>
          <w:p>
            <w:pPr>
              <w:spacing w:after="60" w:before="20"/>
              <w:jc w:val="center"/>
            </w:pPr>
            <w:r>
              <w:rPr>
                <w:rFonts w:ascii="Arial" w:cs="Arial" w:eastAsia="Arial" w:hAnsi="Arial"/>
                <w:color w:val="2C3E50"/>
                <w:sz w:val="18"/>
                <w:szCs w:val="18"/>
              </w:rPr>
              <w:t xml:space="preserve">of organisations have employees using unsanctioned AI apps</w:t>
            </w:r>
          </w:p>
        </w:tc>
        <w:tc>
          <w:tcPr>
            <w:tcW w:type="dxa" w:w="3120"/>
            <w:tcBorders>
              <w:top w:val="single" w:color="D5D8DC" w:sz="1"/>
              <w:left w:val="single" w:color="D5D8DC" w:sz="1"/>
              <w:bottom w:val="single" w:color="D5D8DC" w:sz="1"/>
              <w:right w:val="single" w:color="D5D8DC" w:sz="1"/>
            </w:tcBorders>
            <w:shd w:fill="F2F4F6" w:val="clear"/>
            <w:tcMar>
              <w:top w:type="dxa" w:w="160"/>
              <w:left w:type="dxa" w:w="160"/>
              <w:bottom w:type="dxa" w:w="160"/>
              <w:right w:type="dxa" w:w="160"/>
            </w:tcMar>
          </w:tcPr>
          <w:p>
            <w:pPr>
              <w:spacing w:after="40" w:before="40"/>
              <w:jc w:val="center"/>
            </w:pPr>
            <w:r>
              <w:rPr>
                <w:rFonts w:ascii="Arial" w:cs="Arial" w:eastAsia="Arial" w:hAnsi="Arial"/>
                <w:b/>
                <w:bCs/>
                <w:color w:val="C0392B"/>
                <w:sz w:val="44"/>
                <w:szCs w:val="44"/>
              </w:rPr>
              <w:t xml:space="preserve">£670K</w:t>
            </w:r>
          </w:p>
          <w:p>
            <w:pPr>
              <w:spacing w:after="60" w:before="20"/>
              <w:jc w:val="center"/>
            </w:pPr>
            <w:r>
              <w:rPr>
                <w:rFonts w:ascii="Arial" w:cs="Arial" w:eastAsia="Arial" w:hAnsi="Arial"/>
                <w:color w:val="2C3E50"/>
                <w:sz w:val="18"/>
                <w:szCs w:val="18"/>
              </w:rPr>
              <w:t xml:space="preserve">average additional breach cost where shadow AI is present (IBM 2025)</w:t>
            </w:r>
          </w:p>
        </w:tc>
        <w:tc>
          <w:tcPr>
            <w:tcW w:type="dxa" w:w="3120"/>
            <w:tcBorders>
              <w:top w:val="single" w:color="D5D8DC" w:sz="1"/>
              <w:left w:val="single" w:color="D5D8DC" w:sz="1"/>
              <w:bottom w:val="single" w:color="D5D8DC" w:sz="1"/>
              <w:right w:val="single" w:color="D5D8DC" w:sz="1"/>
            </w:tcBorders>
            <w:shd w:fill="F2F4F6" w:val="clear"/>
            <w:tcMar>
              <w:top w:type="dxa" w:w="160"/>
              <w:left w:type="dxa" w:w="160"/>
              <w:bottom w:type="dxa" w:w="160"/>
              <w:right w:type="dxa" w:w="160"/>
            </w:tcMar>
          </w:tcPr>
          <w:p>
            <w:pPr>
              <w:spacing w:after="40" w:before="40"/>
              <w:jc w:val="center"/>
            </w:pPr>
            <w:r>
              <w:rPr>
                <w:rFonts w:ascii="Arial" w:cs="Arial" w:eastAsia="Arial" w:hAnsi="Arial"/>
                <w:b/>
                <w:bCs/>
                <w:color w:val="C0392B"/>
                <w:sz w:val="44"/>
                <w:szCs w:val="44"/>
              </w:rPr>
              <w:t xml:space="preserve">97%</w:t>
            </w:r>
          </w:p>
          <w:p>
            <w:pPr>
              <w:spacing w:after="60" w:before="20"/>
              <w:jc w:val="center"/>
            </w:pPr>
            <w:r>
              <w:rPr>
                <w:rFonts w:ascii="Arial" w:cs="Arial" w:eastAsia="Arial" w:hAnsi="Arial"/>
                <w:color w:val="2C3E50"/>
                <w:sz w:val="18"/>
                <w:szCs w:val="18"/>
              </w:rPr>
              <w:t xml:space="preserve">of AI-related breaches lacked proper access controls (IBM 2025)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F2F4F6" w:val="clear"/>
            <w:tcMar>
              <w:top w:type="dxa" w:w="160"/>
              <w:left w:type="dxa" w:w="160"/>
              <w:bottom w:type="dxa" w:w="160"/>
              <w:right w:type="dxa" w:w="160"/>
            </w:tcMar>
          </w:tcPr>
          <w:p>
            <w:pPr>
              <w:spacing w:after="40" w:before="40"/>
              <w:jc w:val="center"/>
            </w:pPr>
            <w:r>
              <w:rPr>
                <w:rFonts w:ascii="Arial" w:cs="Arial" w:eastAsia="Arial" w:hAnsi="Arial"/>
                <w:b/>
                <w:bCs/>
                <w:color w:val="C0392B"/>
                <w:sz w:val="44"/>
                <w:szCs w:val="44"/>
              </w:rPr>
              <w:t xml:space="preserve">80%</w:t>
            </w:r>
          </w:p>
          <w:p>
            <w:pPr>
              <w:spacing w:after="60" w:before="20"/>
              <w:jc w:val="center"/>
            </w:pPr>
            <w:r>
              <w:rPr>
                <w:rFonts w:ascii="Arial" w:cs="Arial" w:eastAsia="Arial" w:hAnsi="Arial"/>
                <w:color w:val="2C3E50"/>
                <w:sz w:val="18"/>
                <w:szCs w:val="18"/>
              </w:rPr>
              <w:t xml:space="preserve">of generative AI web traffic bypasses corporate VPN and endpoint controls</w:t>
            </w:r>
          </w:p>
        </w:tc>
        <w:tc>
          <w:tcPr>
            <w:tcW w:type="dxa" w:w="3120"/>
            <w:tcBorders>
              <w:top w:val="single" w:color="D5D8DC" w:sz="1"/>
              <w:left w:val="single" w:color="D5D8DC" w:sz="1"/>
              <w:bottom w:val="single" w:color="D5D8DC" w:sz="1"/>
              <w:right w:val="single" w:color="D5D8DC" w:sz="1"/>
            </w:tcBorders>
            <w:shd w:fill="F2F4F6" w:val="clear"/>
            <w:tcMar>
              <w:top w:type="dxa" w:w="160"/>
              <w:left w:type="dxa" w:w="160"/>
              <w:bottom w:type="dxa" w:w="160"/>
              <w:right w:type="dxa" w:w="160"/>
            </w:tcMar>
          </w:tcPr>
          <w:p>
            <w:pPr>
              <w:spacing w:after="40" w:before="40"/>
              <w:jc w:val="center"/>
            </w:pPr>
            <w:r>
              <w:rPr>
                <w:rFonts w:ascii="Arial" w:cs="Arial" w:eastAsia="Arial" w:hAnsi="Arial"/>
                <w:b/>
                <w:bCs/>
                <w:color w:val="C0392B"/>
                <w:sz w:val="44"/>
                <w:szCs w:val="44"/>
              </w:rPr>
              <w:t xml:space="preserve">68%</w:t>
            </w:r>
          </w:p>
          <w:p>
            <w:pPr>
              <w:spacing w:after="60" w:before="20"/>
              <w:jc w:val="center"/>
            </w:pPr>
            <w:r>
              <w:rPr>
                <w:rFonts w:ascii="Arial" w:cs="Arial" w:eastAsia="Arial" w:hAnsi="Arial"/>
                <w:color w:val="2C3E50"/>
                <w:sz w:val="18"/>
                <w:szCs w:val="18"/>
              </w:rPr>
              <w:t xml:space="preserve">of employees use personal free-tier AI accounts for work tasks</w:t>
            </w:r>
          </w:p>
        </w:tc>
        <w:tc>
          <w:tcPr>
            <w:tcW w:type="dxa" w:w="3120"/>
            <w:tcBorders>
              <w:top w:val="single" w:color="D5D8DC" w:sz="1"/>
              <w:left w:val="single" w:color="D5D8DC" w:sz="1"/>
              <w:bottom w:val="single" w:color="D5D8DC" w:sz="1"/>
              <w:right w:val="single" w:color="D5D8DC" w:sz="1"/>
            </w:tcBorders>
            <w:shd w:fill="F2F4F6" w:val="clear"/>
            <w:tcMar>
              <w:top w:type="dxa" w:w="160"/>
              <w:left w:type="dxa" w:w="160"/>
              <w:bottom w:type="dxa" w:w="160"/>
              <w:right w:type="dxa" w:w="160"/>
            </w:tcMar>
          </w:tcPr>
          <w:p>
            <w:pPr>
              <w:spacing w:after="40" w:before="40"/>
              <w:jc w:val="center"/>
            </w:pPr>
            <w:r>
              <w:rPr>
                <w:rFonts w:ascii="Arial" w:cs="Arial" w:eastAsia="Arial" w:hAnsi="Arial"/>
                <w:b/>
                <w:bCs/>
                <w:color w:val="C0392B"/>
                <w:sz w:val="44"/>
                <w:szCs w:val="44"/>
              </w:rPr>
              <w:t xml:space="preserve">20%</w:t>
            </w:r>
          </w:p>
          <w:p>
            <w:pPr>
              <w:spacing w:after="60" w:before="20"/>
              <w:jc w:val="center"/>
            </w:pPr>
            <w:r>
              <w:rPr>
                <w:rFonts w:ascii="Arial" w:cs="Arial" w:eastAsia="Arial" w:hAnsi="Arial"/>
                <w:color w:val="2C3E50"/>
                <w:sz w:val="18"/>
                <w:szCs w:val="18"/>
              </w:rPr>
              <w:t xml:space="preserve">of all corporate data breaches now involve shadow AI</w:t>
            </w:r>
          </w:p>
        </w:tc>
      </w:tr>
    </w:tbl>
    <w:p>
      <w:pPr>
        <w:spacing w:after="60" w:before="60"/>
      </w:pPr>
      <w:r>
        <w:t xml:space="preserve"/>
      </w:r>
    </w:p>
    <w:p>
      <w:pPr>
        <w:spacing w:after="120" w:before="80"/>
      </w:pPr>
      <w:r>
        <w:rPr>
          <w:rFonts w:ascii="Arial" w:cs="Arial" w:eastAsia="Arial" w:hAnsi="Arial"/>
          <w:color w:val="2C3E50"/>
          <w:sz w:val="22"/>
          <w:szCs w:val="22"/>
        </w:rPr>
        <w:t xml:space="preserve">The IBM Cost of a Data Breach Report 2025 quantified the shadow AI premium directly: organisations with high shadow AI presence pay an average of £670,000 more per breach than those with mature governance and controlled AI access. The average cost of an AI-involved enterprise breach now stands at £4.63 million, compared to £3.96 million for standard breaches — a 17% premium attributable to AI governance failure.</w:t>
      </w:r>
    </w:p>
    <w:p>
      <w:pPr>
        <w:spacing w:after="120" w:before="80"/>
      </w:pPr>
      <w:r>
        <w:rPr>
          <w:rFonts w:ascii="Arial" w:cs="Arial" w:eastAsia="Arial" w:hAnsi="Arial"/>
          <w:color w:val="2C3E50"/>
          <w:sz w:val="22"/>
          <w:szCs w:val="22"/>
        </w:rPr>
        <w:t xml:space="preserve">The underlying mechanism is a collapse of access controls. Because shadow AI tools operate entirely outside IAM protocols, DLP systems, and compliance monitors, incidents disproportionately compromise highly sensitive data. IBM's analysis found 65% of shadow AI incidents involved direct exposure of customer PII, and 40% resulted in compromise of corporate intellectual property.</w:t>
      </w:r>
    </w:p>
    <w:p>
      <w:pPr>
        <w:spacing w:after="120" w:before="80"/>
      </w:pPr>
      <w:r>
        <w:rPr>
          <w:rFonts w:ascii="Arial" w:cs="Arial" w:eastAsia="Arial" w:hAnsi="Arial"/>
          <w:color w:val="2C3E50"/>
          <w:sz w:val="22"/>
          <w:szCs w:val="22"/>
        </w:rPr>
        <w:t xml:space="preserve">A further consequence, less visible than data breach but equally damaging to productivity, is what BetterUp Labs and the Stanford Social Media Lab have termed ‘Workslop’: low-quality AI-generated output that passes as completed work but lacks accuracy or depth, transferring cognitive burden to the receiving colleague and creating a net-negative productivity effect. Effective governance is therefore not only about preventing breaches — it is also about ensuring output quality and maintaining internal trust in AI-assisted work.</w:t>
      </w:r>
    </w:p>
    <w:p>
      <w:pPr>
        <w:spacing w:after="60" w:before="60"/>
      </w:pPr>
      <w:r>
        <w:t xml:space="preserve"/>
      </w:r>
    </w:p>
    <w:p>
      <w:pPr>
        <w:pStyle w:val="Heading1"/>
        <w:pBdr>
          <w:bottom w:val="single" w:color="1E3A5F" w:sz="8" w:space="6"/>
        </w:pBdr>
        <w:spacing w:after="160" w:before="360"/>
      </w:pPr>
      <w:r>
        <w:rPr>
          <w:rFonts w:ascii="Arial" w:cs="Arial" w:eastAsia="Arial" w:hAnsi="Arial"/>
          <w:b/>
          <w:bCs/>
          <w:color w:val="1E3A5F"/>
          <w:sz w:val="32"/>
          <w:szCs w:val="32"/>
        </w:rPr>
        <w:t xml:space="preserve">3. The agentic frontier: why MCP changes the risk calculus</w:t>
      </w:r>
    </w:p>
    <w:p>
      <w:pPr>
        <w:spacing w:after="120" w:before="80"/>
      </w:pPr>
      <w:r>
        <w:rPr>
          <w:rFonts w:ascii="Arial" w:cs="Arial" w:eastAsia="Arial" w:hAnsi="Arial"/>
          <w:color w:val="2C3E50"/>
          <w:sz w:val="22"/>
          <w:szCs w:val="22"/>
        </w:rPr>
        <w:t xml:space="preserve">The risk profile of ungoverned AI tool use changes significantly when agents move beyond chat and begin interacting with live business systems via the Model Context Protocol (MCP). MCP is the emerging open standard that allows AI models to call external tools — querying databases, reading CRM records, creating tickets, sending communications, and executing transactions — via standardised API connections.</w:t>
      </w:r>
    </w:p>
    <w:p>
      <w:pPr>
        <w:spacing w:after="120" w:before="80"/>
      </w:pPr>
      <w:r>
        <w:rPr>
          <w:rFonts w:ascii="Arial" w:cs="Arial" w:eastAsia="Arial" w:hAnsi="Arial"/>
          <w:color w:val="2C3E50"/>
          <w:sz w:val="22"/>
          <w:szCs w:val="22"/>
        </w:rPr>
        <w:t xml:space="preserve">MCP creates massive operational efficiency. It also creates a fundamentally different attack surface that legacy security tooling is not equipped to handle. The core issue is that MCP bridges the semantic unpredictability of a language model with the deterministic, highly privileged execution capabilities of enterprise software.</w:t>
      </w:r>
    </w:p>
    <w:p>
      <w:pPr>
        <w:spacing w:after="120" w:before="80"/>
      </w:pPr>
      <w:r>
        <w:rPr>
          <w:rFonts w:ascii="Arial" w:cs="Arial" w:eastAsia="Arial" w:hAnsi="Arial"/>
          <w:color w:val="2C3E50"/>
          <w:sz w:val="22"/>
          <w:szCs w:val="22"/>
        </w:rPr>
        <w:t xml:space="preserve">Security research has documented six distinct attack classes relevant to enterprise MCP deployments: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Attack Vector</w:t>
            </w:r>
          </w:p>
        </w:tc>
        <w:tc>
          <w:tcPr>
            <w:tcW w:type="dxa" w:w="358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58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Operational Impact</w:t>
            </w:r>
          </w:p>
        </w:tc>
      </w:tr>
      <w:tr>
        <w:tc>
          <w:tcPr>
            <w:tcW w:type="dxa" w:w="2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Confused Deputy Attack</w:t>
            </w:r>
          </w:p>
        </w:tc>
        <w:tc>
          <w:tcPr>
            <w:tcW w:type="dxa" w:w="35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Attacker embeds hidden instructions in a document, email, or webpage that the agent is asked to process. The agent — holding a valid OAuth token — executes the attacker’s instructions using its own legitimate credentials.</w:t>
            </w:r>
          </w:p>
        </w:tc>
        <w:tc>
          <w:tcPr>
            <w:tcW w:type="dxa" w:w="35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Privilege escalation, data exfiltration, remote code execution using valid enterprise tokens. Bypasses traditional authentication entirely.</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Tool Poisoning (TPA)</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Malicious instructions embedded in an MCP tool’s static metadata or description. Because the agent ingests all available tool descriptions to decide which action to take, a poisoned description steers it toward unsafe behaviour.</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Research shows attack success rates above 72% across major models, with current safety alignments refusing less than 3% of poisoned prompts.</w:t>
            </w:r>
          </w:p>
        </w:tc>
      </w:tr>
      <w:tr>
        <w:tc>
          <w:tcPr>
            <w:tcW w:type="dxa" w:w="2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Advanced Tool Poisoning (ATPA)</w:t>
            </w:r>
          </w:p>
        </w:tc>
        <w:tc>
          <w:tcPr>
            <w:tcW w:type="dxa" w:w="35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Exploits the agent’s ingestion of dynamic, real-time tool outputs such as error messages and database returns, injecting malicious context mid-execution rather than in the static tool definition.</w:t>
            </w:r>
          </w:p>
        </w:tc>
        <w:tc>
          <w:tcPr>
            <w:tcW w:type="dxa" w:w="35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Bypasses schema validation and semantic firewalls. Requires zero-trust treatment of every output from every MCP tool, not just the initial tool definition.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Tool Shadowing</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 malicious MCP server intercepts or overrides calls intended for a legitimate, trusted server operating in the same environment.</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Silent interception of API keys and covert redirection of sensitive operational data to an attacker-controlled destination.</w:t>
            </w:r>
          </w:p>
        </w:tc>
      </w:tr>
      <w:tr>
        <w:tc>
          <w:tcPr>
            <w:tcW w:type="dxa" w:w="2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Rug-pull Attacks</w:t>
            </w:r>
          </w:p>
        </w:tc>
        <w:tc>
          <w:tcPr>
            <w:tcW w:type="dxa" w:w="35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A previously approved MCP tool silently redefines its own capabilities or destination routing post-installation, after the initial security review.</w:t>
            </w:r>
          </w:p>
        </w:tc>
        <w:tc>
          <w:tcPr>
            <w:tcW w:type="dxa" w:w="358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Turns a trusted, approved integration into a data exfiltration channel. Bypasses all procurement-time security assessment.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Zero-Click Exfiltration (EchoLeak)</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Multi-stage prompt injection via a benign-looking email, bypassing XPIA protections and Content Security Policy restrictions to extract data from an active AI session without user interaction.</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Demonstrated against Microsoft 365 Copilot in early 2025. Invisible to the user. Exfiltrates internal documents and IP processed by the AI session.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C0392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w:t>
            </w:r>
          </w:p>
        </w:tc>
        <w:tc>
          <w:tcPr>
            <w:tcW w:type="dxa" w:w="8960"/>
            <w:tcBorders>
              <w:top w:val="single" w:color="D5D8DC" w:sz="1"/>
              <w:left w:val="single" w:color="D5D8DC" w:sz="1"/>
              <w:bottom w:val="single" w:color="D5D8DC" w:sz="1"/>
              <w:right w:val="single" w:color="D5D8DC" w:sz="1"/>
            </w:tcBorders>
            <w:shd w:fill="FBEAEA" w:val="clear"/>
            <w:tcMar>
              <w:top w:type="dxa" w:w="100"/>
              <w:left w:type="dxa" w:w="160"/>
              <w:bottom w:type="dxa" w:w="100"/>
              <w:right w:type="dxa" w:w="160"/>
            </w:tcMar>
          </w:tcPr>
          <w:p>
            <w:pPr>
              <w:spacing w:after="20" w:before="40"/>
            </w:pPr>
            <w:r>
              <w:rPr>
                <w:rFonts w:ascii="Arial" w:cs="Arial" w:eastAsia="Arial" w:hAnsi="Arial"/>
                <w:b/>
                <w:bCs/>
                <w:color w:val="C0392B"/>
                <w:sz w:val="20"/>
                <w:szCs w:val="20"/>
              </w:rPr>
              <w:t xml:space="preserve">Why this matters right now</w:t>
            </w:r>
          </w:p>
          <w:p>
            <w:pPr>
              <w:spacing w:after="40" w:before="20"/>
            </w:pPr>
            <w:r>
              <w:rPr>
                <w:rFonts w:ascii="Arial" w:cs="Arial" w:eastAsia="Arial" w:hAnsi="Arial"/>
                <w:color w:val="2C3E50"/>
                <w:sz w:val="20"/>
                <w:szCs w:val="20"/>
              </w:rPr>
              <w:t xml:space="preserve">Every MCP-connected agent your teams deploy — whether accessing ServiceNow, billing records, customer data, or internal knowledge bases — is a potential confused deputy. Without a control layer that enforces which tools a specific user can invoke in a specific context, you have no mechanism to prevent this class of attack. Content safety filters and prompt guardrails do not solve it: tool poisoning success rates above 72% persist against models with safety alignment. The defence is architectural, not model-level.</w:t>
            </w:r>
          </w:p>
        </w:tc>
      </w:tr>
    </w:tbl>
    <w:p>
      <w:pPr>
        <w:spacing w:after="60" w:before="60"/>
      </w:pPr>
      <w:r>
        <w:t xml:space="preserve"/>
      </w:r>
    </w:p>
    <w:p>
      <w:pPr>
        <w:pStyle w:val="Heading1"/>
        <w:pBdr>
          <w:bottom w:val="single" w:color="1E3A5F" w:sz="8" w:space="6"/>
        </w:pBdr>
        <w:spacing w:after="160" w:before="360"/>
      </w:pPr>
      <w:r>
        <w:rPr>
          <w:rFonts w:ascii="Arial" w:cs="Arial" w:eastAsia="Arial" w:hAnsi="Arial"/>
          <w:b/>
          <w:bCs/>
          <w:color w:val="1E3A5F"/>
          <w:sz w:val="32"/>
          <w:szCs w:val="32"/>
        </w:rPr>
        <w:t xml:space="preserve">4. Governance accelerates adoption — the analyst consensus</w:t>
      </w:r>
    </w:p>
    <w:p>
      <w:pPr>
        <w:spacing w:after="120" w:before="80"/>
      </w:pPr>
      <w:r>
        <w:rPr>
          <w:rFonts w:ascii="Arial" w:cs="Arial" w:eastAsia="Arial" w:hAnsi="Arial"/>
          <w:color w:val="2C3E50"/>
          <w:sz w:val="22"/>
          <w:szCs w:val="22"/>
        </w:rPr>
        <w:t xml:space="preserve">The most persistent objection to governance tooling from product leadership is that it slows deployment. The empirical evidence consistently contradicts this. Across six major analyst bodies and multiple independent operational studies, the conclusion is the same: organisations with mature governance frameworks deploy AI faster, scale more successfully, and experience fewer costly incidents.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F2F4F6" w:val="clear"/>
            <w:tcMar>
              <w:top w:type="dxa" w:w="160"/>
              <w:left w:type="dxa" w:w="160"/>
              <w:bottom w:type="dxa" w:w="160"/>
              <w:right w:type="dxa" w:w="160"/>
            </w:tcMar>
          </w:tcPr>
          <w:p>
            <w:pPr>
              <w:spacing w:after="40" w:before="40"/>
              <w:jc w:val="center"/>
            </w:pPr>
            <w:r>
              <w:rPr>
                <w:rFonts w:ascii="Arial" w:cs="Arial" w:eastAsia="Arial" w:hAnsi="Arial"/>
                <w:b/>
                <w:bCs/>
                <w:color w:val="C0392B"/>
                <w:sz w:val="44"/>
                <w:szCs w:val="44"/>
              </w:rPr>
              <w:t xml:space="preserve">40%</w:t>
            </w:r>
          </w:p>
          <w:p>
            <w:pPr>
              <w:spacing w:after="60" w:before="20"/>
              <w:jc w:val="center"/>
            </w:pPr>
            <w:r>
              <w:rPr>
                <w:rFonts w:ascii="Arial" w:cs="Arial" w:eastAsia="Arial" w:hAnsi="Arial"/>
                <w:color w:val="2C3E50"/>
                <w:sz w:val="18"/>
                <w:szCs w:val="18"/>
              </w:rPr>
              <w:t xml:space="preserve">faster AI deployment in organisations with mature governance frameworks</w:t>
            </w:r>
          </w:p>
        </w:tc>
        <w:tc>
          <w:tcPr>
            <w:tcW w:type="dxa" w:w="3120"/>
            <w:tcBorders>
              <w:top w:val="single" w:color="D5D8DC" w:sz="1"/>
              <w:left w:val="single" w:color="D5D8DC" w:sz="1"/>
              <w:bottom w:val="single" w:color="D5D8DC" w:sz="1"/>
              <w:right w:val="single" w:color="D5D8DC" w:sz="1"/>
            </w:tcBorders>
            <w:shd w:fill="F2F4F6" w:val="clear"/>
            <w:tcMar>
              <w:top w:type="dxa" w:w="160"/>
              <w:left w:type="dxa" w:w="160"/>
              <w:bottom w:type="dxa" w:w="160"/>
              <w:right w:type="dxa" w:w="160"/>
            </w:tcMar>
          </w:tcPr>
          <w:p>
            <w:pPr>
              <w:spacing w:after="40" w:before="40"/>
              <w:jc w:val="center"/>
            </w:pPr>
            <w:r>
              <w:rPr>
                <w:rFonts w:ascii="Arial" w:cs="Arial" w:eastAsia="Arial" w:hAnsi="Arial"/>
                <w:b/>
                <w:bCs/>
                <w:color w:val="C0392B"/>
                <w:sz w:val="44"/>
                <w:szCs w:val="44"/>
              </w:rPr>
              <w:t xml:space="preserve">3.4×</w:t>
            </w:r>
          </w:p>
          <w:p>
            <w:pPr>
              <w:spacing w:after="60" w:before="20"/>
              <w:jc w:val="center"/>
            </w:pPr>
            <w:r>
              <w:rPr>
                <w:rFonts w:ascii="Arial" w:cs="Arial" w:eastAsia="Arial" w:hAnsi="Arial"/>
                <w:color w:val="2C3E50"/>
                <w:sz w:val="18"/>
                <w:szCs w:val="18"/>
              </w:rPr>
              <w:t xml:space="preserve">more likely to scale AI successfully with governance in place</w:t>
            </w:r>
          </w:p>
        </w:tc>
        <w:tc>
          <w:tcPr>
            <w:tcW w:type="dxa" w:w="3120"/>
            <w:tcBorders>
              <w:top w:val="single" w:color="D5D8DC" w:sz="1"/>
              <w:left w:val="single" w:color="D5D8DC" w:sz="1"/>
              <w:bottom w:val="single" w:color="D5D8DC" w:sz="1"/>
              <w:right w:val="single" w:color="D5D8DC" w:sz="1"/>
            </w:tcBorders>
            <w:shd w:fill="F2F4F6" w:val="clear"/>
            <w:tcMar>
              <w:top w:type="dxa" w:w="160"/>
              <w:left w:type="dxa" w:w="160"/>
              <w:bottom w:type="dxa" w:w="160"/>
              <w:right w:type="dxa" w:w="160"/>
            </w:tcMar>
          </w:tcPr>
          <w:p>
            <w:pPr>
              <w:spacing w:after="40" w:before="40"/>
              <w:jc w:val="center"/>
            </w:pPr>
            <w:r>
              <w:rPr>
                <w:rFonts w:ascii="Arial" w:cs="Arial" w:eastAsia="Arial" w:hAnsi="Arial"/>
                <w:b/>
                <w:bCs/>
                <w:color w:val="C0392B"/>
                <w:sz w:val="44"/>
                <w:szCs w:val="44"/>
              </w:rPr>
              <w:t xml:space="preserve">60%</w:t>
            </w:r>
          </w:p>
          <w:p>
            <w:pPr>
              <w:spacing w:after="60" w:before="20"/>
              <w:jc w:val="center"/>
            </w:pPr>
            <w:r>
              <w:rPr>
                <w:rFonts w:ascii="Arial" w:cs="Arial" w:eastAsia="Arial" w:hAnsi="Arial"/>
                <w:color w:val="2C3E50"/>
                <w:sz w:val="18"/>
                <w:szCs w:val="18"/>
              </w:rPr>
              <w:t xml:space="preserve">fewer post-deployment compliance issues and critical vulnerabilities</w:t>
            </w:r>
          </w:p>
        </w:tc>
      </w:tr>
    </w:tbl>
    <w:p>
      <w:pPr>
        <w:spacing w:after="60" w:before="60"/>
      </w:pPr>
      <w:r>
        <w:t xml:space="preserve"/>
      </w:r>
    </w:p>
    <w:p>
      <w:pPr>
        <w:spacing w:after="120" w:before="80"/>
      </w:pPr>
      <w:r>
        <w:rPr>
          <w:rFonts w:ascii="Arial" w:cs="Arial" w:eastAsia="Arial" w:hAnsi="Arial"/>
          <w:color w:val="2C3E50"/>
          <w:sz w:val="22"/>
          <w:szCs w:val="22"/>
        </w:rPr>
        <w:t xml:space="preserve">Gartner’s Q2 2025 survey of 360 organisations found those deploying AI governance platforms are 3.4 times more likely to achieve high effectiveness in AI governance outcomes. McKinsey’s State of AI 2025 identified only 6% of organisations as AI high-performers — those where AI contributes more than 5% of EBIT. The differentiator between high-performers and the rest was overwhelmingly organisational: governance, workflow redesign, cross-functional alignment. Not model capability.</w:t>
      </w:r>
    </w:p>
    <w:p>
      <w:pPr>
        <w:spacing w:after="120" w:before="80"/>
      </w:pPr>
      <w:r>
        <w:rPr>
          <w:rFonts w:ascii="Arial" w:cs="Arial" w:eastAsia="Arial" w:hAnsi="Arial"/>
          <w:color w:val="2C3E50"/>
          <w:sz w:val="22"/>
          <w:szCs w:val="22"/>
        </w:rPr>
        <w:t xml:space="preserve">Forrester’s Data &amp; AI Governance Model (July 2025) states explicitly that governance delivers security, privacy, compliance, self-service, and discovery — ‘while accelerating rather than hindering innovation.’ Deloitte’s State of AI in the Enterprise 2026, surveying 3,235 leaders, found that enterprises where senior leadership actively shapes AI governance achieve significantly greater business value than those where governance is absent or reactive.</w:t>
      </w:r>
    </w:p>
    <w:p>
      <w:pPr>
        <w:spacing w:after="120" w:before="80"/>
      </w:pPr>
      <w:r>
        <w:rPr>
          <w:rFonts w:ascii="Arial" w:cs="Arial" w:eastAsia="Arial" w:hAnsi="Arial"/>
          <w:color w:val="2C3E50"/>
          <w:sz w:val="22"/>
          <w:szCs w:val="22"/>
        </w:rPr>
        <w:t xml:space="preserve">The IBM case is instructive at the operational level. IBM’s governed AI environment reduced the business case approval process for new AI deployments from an average of two weeks to approximately five to six minutes. This is the practical effect of pre-approved policy rails: decisions that previously required bespoke security review for every deployment are resolved by policy lookup.</w:t>
      </w:r>
    </w:p>
    <w:p>
      <w:pPr>
        <w:spacing w:after="120" w:before="80"/>
      </w:pPr>
      <w:r>
        <w:rPr>
          <w:rFonts w:ascii="Arial" w:cs="Arial" w:eastAsia="Arial" w:hAnsi="Arial"/>
          <w:color w:val="2C3E50"/>
          <w:sz w:val="22"/>
          <w:szCs w:val="22"/>
        </w:rPr>
        <w:t xml:space="preserve">The financial case is straightforward. Governance implementation costs approximately 0.5–1% of total AI spend annually. A single shadow AI breach adds £670,000 to costs. A single EU AI Act violation can reach €35 million. One prevented incident pays for multiple years of governance infrastructure.</w:t>
      </w:r>
    </w:p>
    <w:p>
      <w:pPr>
        <w:spacing w:after="60" w:before="60"/>
      </w:pPr>
      <w:r>
        <w:t xml:space="preserve"/>
      </w:r>
    </w:p>
    <w:p>
      <w:pPr>
        <w:pStyle w:val="Heading1"/>
        <w:pBdr>
          <w:bottom w:val="single" w:color="1E3A5F" w:sz="8" w:space="6"/>
        </w:pBdr>
        <w:spacing w:after="160" w:before="360"/>
      </w:pPr>
      <w:r>
        <w:rPr>
          <w:rFonts w:ascii="Arial" w:cs="Arial" w:eastAsia="Arial" w:hAnsi="Arial"/>
          <w:b/>
          <w:bCs/>
          <w:color w:val="1E3A5F"/>
          <w:sz w:val="32"/>
          <w:szCs w:val="32"/>
        </w:rPr>
        <w:t xml:space="preserve">5. The proposed solution: SoRR Control</w:t>
      </w:r>
    </w:p>
    <w:p>
      <w:pPr>
        <w:spacing w:after="120" w:before="80"/>
      </w:pPr>
      <w:r>
        <w:rPr>
          <w:rFonts w:ascii="Arial" w:cs="Arial" w:eastAsia="Arial" w:hAnsi="Arial"/>
          <w:color w:val="2C3E50"/>
          <w:sz w:val="22"/>
          <w:szCs w:val="22"/>
        </w:rPr>
        <w:t xml:space="preserve">SoRR Control is a governed orchestration layer sitting between employees and enterprise AI tools. Its job is specific: accept a user request, classify it against a registry of approved use cases and risk tiers, resolve the governing policy bundle, and route to one of three execution paths. It is not a replacement for Claude or Cowork. It is the policy resolution and routing layer that makes them safe to deploy at scale.</w:t>
      </w:r>
    </w:p>
    <w:p>
      <w:pPr>
        <w:spacing w:after="60" w:before="60"/>
      </w:pPr>
      <w:r>
        <w:t xml:space="preserve"/>
      </w:r>
    </w:p>
    <w:p>
      <w:pPr>
        <w:pStyle w:val="Heading2"/>
        <w:spacing w:after="120" w:before="280"/>
      </w:pPr>
      <w:r>
        <w:rPr>
          <w:rFonts w:ascii="Arial" w:cs="Arial" w:eastAsia="Arial" w:hAnsi="Arial"/>
          <w:b/>
          <w:bCs/>
          <w:color w:val="1E3A5F"/>
          <w:sz w:val="26"/>
          <w:szCs w:val="26"/>
        </w:rPr>
        <w:t xml:space="preserve">The policy boundary in plain terms</w:t>
      </w:r>
    </w:p>
    <w:p>
      <w:pPr>
        <w:spacing w:after="120" w:before="80"/>
      </w:pPr>
      <w:r>
        <w:rPr>
          <w:rFonts w:ascii="Arial" w:cs="Arial" w:eastAsia="Arial" w:hAnsi="Arial"/>
          <w:color w:val="2C3E50"/>
          <w:sz w:val="22"/>
          <w:szCs w:val="22"/>
        </w:rPr>
        <w:t xml:space="preserve">Two surfaces. The boundary between them is determined by the task type, not user discretion.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F2F4F6" w:val="clear"/>
            <w:tcMar>
              <w:top w:type="dxa" w:w="120"/>
              <w:left w:type="dxa" w:w="160"/>
              <w:bottom w:type="dxa" w:w="120"/>
              <w:right w:type="dxa" w:w="160"/>
            </w:tcMar>
          </w:tcPr>
          <w:p>
            <w:pPr>
              <w:spacing w:after="80" w:before="40"/>
            </w:pPr>
            <w:r>
              <w:rPr>
                <w:rFonts w:ascii="Arial" w:cs="Arial" w:eastAsia="Arial" w:hAnsi="Arial"/>
                <w:b/>
                <w:bCs/>
                <w:color w:val="1E3A5F"/>
                <w:sz w:val="22"/>
                <w:szCs w:val="22"/>
              </w:rPr>
              <w:t xml:space="preserve">Direct Claude — allowed</w:t>
            </w:r>
          </w:p>
          <w:p>
            <w:pPr>
              <w:spacing w:after="40" w:before="40"/>
            </w:pPr>
            <w:r>
              <w:rPr>
                <w:rFonts w:ascii="Arial" w:cs="Arial" w:eastAsia="Arial" w:hAnsi="Arial"/>
                <w:color w:val="2C3E50"/>
                <w:sz w:val="20"/>
                <w:szCs w:val="20"/>
              </w:rPr>
              <w:t xml:space="preserve">General reasoning, explanation, ideation</w:t>
            </w:r>
          </w:p>
          <w:p>
            <w:pPr>
              <w:spacing w:after="40" w:before="40"/>
            </w:pPr>
            <w:r>
              <w:rPr>
                <w:rFonts w:ascii="Arial" w:cs="Arial" w:eastAsia="Arial" w:hAnsi="Arial"/>
                <w:color w:val="2C3E50"/>
                <w:sz w:val="20"/>
                <w:szCs w:val="20"/>
              </w:rPr>
              <w:t xml:space="preserve">Drafting from user-supplied context</w:t>
            </w:r>
          </w:p>
          <w:p>
            <w:pPr>
              <w:spacing w:after="40" w:before="40"/>
            </w:pPr>
            <w:r>
              <w:rPr>
                <w:rFonts w:ascii="Arial" w:cs="Arial" w:eastAsia="Arial" w:hAnsi="Arial"/>
                <w:color w:val="2C3E50"/>
                <w:sz w:val="20"/>
                <w:szCs w:val="20"/>
              </w:rPr>
              <w:t xml:space="preserve">Summarising manually pasted content</w:t>
            </w:r>
          </w:p>
          <w:p>
            <w:pPr>
              <w:spacing w:after="40" w:before="40"/>
            </w:pPr>
            <w:r>
              <w:rPr>
                <w:rFonts w:ascii="Arial" w:cs="Arial" w:eastAsia="Arial" w:hAnsi="Arial"/>
                <w:color w:val="2C3E50"/>
                <w:sz w:val="20"/>
                <w:szCs w:val="20"/>
              </w:rPr>
              <w:t xml:space="preserve">Personal productivity and learning</w:t>
            </w:r>
          </w:p>
          <w:p>
            <w:pPr>
              <w:spacing w:after="40" w:before="40"/>
            </w:pPr>
            <w:r>
              <w:rPr>
                <w:rFonts w:ascii="Arial" w:cs="Arial" w:eastAsia="Arial" w:hAnsi="Arial"/>
                <w:color w:val="2C3E50"/>
                <w:sz w:val="20"/>
                <w:szCs w:val="20"/>
              </w:rPr>
              <w:t xml:space="preserve">No live system access, no governed tools</w:t>
            </w:r>
          </w:p>
        </w:tc>
        <w:tc>
          <w:tcPr>
            <w:tcW w:type="dxa" w:w="4680"/>
            <w:tcBorders>
              <w:top w:val="single" w:color="D5D8DC" w:sz="1"/>
              <w:left w:val="single" w:color="D5D8DC" w:sz="1"/>
              <w:bottom w:val="single" w:color="D5D8DC" w:sz="1"/>
              <w:right w:val="single" w:color="D5D8DC" w:sz="1"/>
            </w:tcBorders>
            <w:shd w:fill="F0EBF8" w:val="clear"/>
            <w:tcMar>
              <w:top w:type="dxa" w:w="120"/>
              <w:left w:type="dxa" w:w="160"/>
              <w:bottom w:type="dxa" w:w="120"/>
              <w:right w:type="dxa" w:w="160"/>
            </w:tcMar>
          </w:tcPr>
          <w:p>
            <w:pPr>
              <w:spacing w:after="80" w:before="40"/>
            </w:pPr>
            <w:r>
              <w:rPr>
                <w:rFonts w:ascii="Arial" w:cs="Arial" w:eastAsia="Arial" w:hAnsi="Arial"/>
                <w:b/>
                <w:bCs/>
                <w:color w:val="1E3A5F"/>
                <w:sz w:val="22"/>
                <w:szCs w:val="22"/>
              </w:rPr>
              <w:t xml:space="preserve">SoRR Control — required</w:t>
            </w:r>
          </w:p>
          <w:p>
            <w:pPr>
              <w:spacing w:after="40" w:before="40"/>
            </w:pPr>
            <w:r>
              <w:rPr>
                <w:rFonts w:ascii="Arial" w:cs="Arial" w:eastAsia="Arial" w:hAnsi="Arial"/>
                <w:color w:val="2C3E50"/>
                <w:sz w:val="20"/>
                <w:szCs w:val="20"/>
              </w:rPr>
              <w:t xml:space="preserve">Any request touching a live business system</w:t>
            </w:r>
          </w:p>
          <w:p>
            <w:pPr>
              <w:spacing w:after="40" w:before="40"/>
            </w:pPr>
            <w:r>
              <w:rPr>
                <w:rFonts w:ascii="Arial" w:cs="Arial" w:eastAsia="Arial" w:hAnsi="Arial"/>
                <w:color w:val="2C3E50"/>
                <w:sz w:val="20"/>
                <w:szCs w:val="20"/>
              </w:rPr>
              <w:t xml:space="preserve">Any output intended to leave the conversation</w:t>
            </w:r>
          </w:p>
          <w:p>
            <w:pPr>
              <w:spacing w:after="40" w:before="40"/>
            </w:pPr>
            <w:r>
              <w:rPr>
                <w:rFonts w:ascii="Arial" w:cs="Arial" w:eastAsia="Arial" w:hAnsi="Arial"/>
                <w:color w:val="2C3E50"/>
                <w:sz w:val="20"/>
                <w:szCs w:val="20"/>
              </w:rPr>
              <w:t xml:space="preserve">Any use of a governed connector or MCP tool</w:t>
            </w:r>
          </w:p>
          <w:p>
            <w:pPr>
              <w:spacing w:after="40" w:before="40"/>
            </w:pPr>
            <w:r>
              <w:rPr>
                <w:rFonts w:ascii="Arial" w:cs="Arial" w:eastAsia="Arial" w:hAnsi="Arial"/>
                <w:color w:val="2C3E50"/>
                <w:sz w:val="20"/>
                <w:szCs w:val="20"/>
              </w:rPr>
              <w:t xml:space="preserve">Any registered business workflow (T2+)</w:t>
            </w:r>
          </w:p>
          <w:p>
            <w:pPr>
              <w:spacing w:after="40" w:before="40"/>
            </w:pPr>
            <w:r>
              <w:rPr>
                <w:rFonts w:ascii="Arial" w:cs="Arial" w:eastAsia="Arial" w:hAnsi="Arial"/>
                <w:color w:val="2C3E50"/>
                <w:sz w:val="20"/>
                <w:szCs w:val="20"/>
              </w:rPr>
              <w:t xml:space="preserve">Any agent invocation, external comms, system write</w:t>
            </w:r>
          </w:p>
        </w:tc>
      </w:tr>
    </w:tbl>
    <w:p>
      <w:pPr>
        <w:spacing w:after="60" w:before="60"/>
      </w:pPr>
      <w:r>
        <w:t xml:space="preserve"/>
      </w:r>
    </w:p>
    <w:p>
      <w:pPr>
        <w:pStyle w:val="Heading2"/>
        <w:spacing w:after="120" w:before="280"/>
      </w:pPr>
      <w:r>
        <w:rPr>
          <w:rFonts w:ascii="Arial" w:cs="Arial" w:eastAsia="Arial" w:hAnsi="Arial"/>
          <w:b/>
          <w:bCs/>
          <w:color w:val="1E3A5F"/>
          <w:sz w:val="26"/>
          <w:szCs w:val="26"/>
        </w:rPr>
        <w:t xml:space="preserve">The three execution routes</w:t>
      </w:r>
    </w:p>
    <w:p>
      <w:pPr>
        <w:spacing w:after="120" w:before="80"/>
      </w:pPr>
      <w:r>
        <w:rPr>
          <w:rFonts w:ascii="Arial" w:cs="Arial" w:eastAsia="Arial" w:hAnsi="Arial"/>
          <w:color w:val="2C3E50"/>
          <w:sz w:val="22"/>
          <w:szCs w:val="22"/>
        </w:rPr>
        <w:t xml:space="preserve">Every request classified by SoRR Control resolves to one of three paths, determined automatically by risk tier and use case: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20"/>
        <w:gridCol w:w="3120"/>
        <w:gridCol w:w="1520"/>
      </w:tblGrid>
      <w:tr>
        <w:tc>
          <w:tcPr>
            <w:tcW w:type="dxa" w:w="180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 Tier</w:t>
            </w:r>
          </w:p>
        </w:tc>
        <w:tc>
          <w:tcPr>
            <w:tcW w:type="dxa" w:w="292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12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520"/>
            <w:tcBorders>
              <w:top w:val="single" w:color="D5D8DC" w:sz="1"/>
              <w:left w:val="single" w:color="D5D8DC" w:sz="1"/>
              <w:bottom w:val="single" w:color="D5D8DC" w:sz="1"/>
              <w:right w:val="single" w:color="D5D8D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Approval</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Tier 1 — Low</w:t>
            </w:r>
          </w:p>
        </w:tc>
        <w:tc>
          <w:tcPr>
            <w:tcW w:type="dxa" w:w="29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General reasoning, pasted text, ideation, internal Q&amp;A</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Fast lane — immediate Claude response, no approval, audit logged</w:t>
            </w:r>
          </w:p>
        </w:tc>
        <w:tc>
          <w:tcPr>
            <w:tcW w:type="dxa" w:w="1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Not required</w:t>
            </w:r>
          </w:p>
        </w:tc>
      </w:tr>
      <w:tr>
        <w:tc>
          <w:tcPr>
            <w:tcW w:type="dxa" w:w="18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Tier 2 — Internal operational</w:t>
            </w:r>
          </w:p>
        </w:tc>
        <w:tc>
          <w:tcPr>
            <w:tcW w:type="dxa" w:w="292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Internal system reads, non-customer data, internal drafts</w:t>
            </w:r>
          </w:p>
        </w:tc>
        <w:tc>
          <w:tcPr>
            <w:tcW w:type="dxa" w:w="312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Immediate with lightweight guardrails; output scoped to internal only</w:t>
            </w:r>
          </w:p>
        </w:tc>
        <w:tc>
          <w:tcPr>
            <w:tcW w:type="dxa" w:w="152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Required</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Tier 3 — External / sensitive</w:t>
            </w:r>
          </w:p>
        </w:tc>
        <w:tc>
          <w:tcPr>
            <w:tcW w:type="dxa" w:w="29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Customer records, billing data, incident comms, live system access</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Approval required — draft generated and held pending named approver</w:t>
            </w:r>
          </w:p>
        </w:tc>
        <w:tc>
          <w:tcPr>
            <w:tcW w:type="dxa" w:w="15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Not required</w:t>
            </w:r>
          </w:p>
        </w:tc>
      </w:tr>
      <w:tr>
        <w:tc>
          <w:tcPr>
            <w:tcW w:type="dxa" w:w="18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Tier 4 — Regulated / legal</w:t>
            </w:r>
          </w:p>
        </w:tc>
        <w:tc>
          <w:tcPr>
            <w:tcW w:type="dxa" w:w="292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Regulatory responses, formal complaints, legal obligations</w:t>
            </w:r>
          </w:p>
        </w:tc>
        <w:tc>
          <w:tcPr>
            <w:tcW w:type="dxa" w:w="312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Governed workspace only — full audit trail, named approver, output locked</w:t>
            </w:r>
          </w:p>
        </w:tc>
        <w:tc>
          <w:tcPr>
            <w:tcW w:type="dxa" w:w="152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120"/>
            </w:tcMar>
          </w:tcPr>
          <w:p>
            <w:r>
              <w:rPr>
                <w:rFonts w:ascii="Arial" w:cs="Arial" w:eastAsia="Arial" w:hAnsi="Arial"/>
                <w:color w:val="2C3E50"/>
                <w:sz w:val="20"/>
                <w:szCs w:val="20"/>
              </w:rPr>
              <w:t xml:space="preserve">Required</w:t>
            </w:r>
          </w:p>
        </w:tc>
      </w:tr>
    </w:tbl>
    <w:p>
      <w:pPr>
        <w:spacing w:after="60" w:before="60"/>
      </w:pPr>
      <w:r>
        <w:t xml:space="preserve"/>
      </w:r>
    </w:p>
    <w:p>
      <w:pPr>
        <w:spacing w:after="120" w:before="80"/>
      </w:pPr>
      <w:r>
        <w:rPr>
          <w:rFonts w:ascii="Arial" w:cs="Arial" w:eastAsia="Arial" w:hAnsi="Arial"/>
          <w:color w:val="2C3E50"/>
          <w:sz w:val="22"/>
          <w:szCs w:val="22"/>
        </w:rPr>
        <w:t xml:space="preserve">The critical enforcement mechanism: governed connectors, MCP tools, and agents only exist behind SoRR Control. They are not available in direct Claude. Users who attempt to do governed work in the open interface simply cannot — not because of a policy they might ignore, but because the tools are not there.</w:t>
      </w:r>
    </w:p>
    <w:p>
      <w:pPr>
        <w:spacing w:after="60" w:before="60"/>
      </w:pPr>
      <w:r>
        <w:t xml:space="preserve"/>
      </w:r>
    </w:p>
    <w:p>
      <w:pPr>
        <w:pStyle w:val="Heading1"/>
        <w:pBdr>
          <w:bottom w:val="single" w:color="1E3A5F" w:sz="8" w:space="6"/>
        </w:pBdr>
        <w:spacing w:after="160" w:before="360"/>
      </w:pPr>
      <w:r>
        <w:rPr>
          <w:rFonts w:ascii="Arial" w:cs="Arial" w:eastAsia="Arial" w:hAnsi="Arial"/>
          <w:b/>
          <w:bCs/>
          <w:color w:val="1E3A5F"/>
          <w:sz w:val="32"/>
          <w:szCs w:val="32"/>
        </w:rPr>
        <w:t xml:space="preserve">6. Why not just use ServiceNow or Portkey?</w:t>
      </w:r>
    </w:p>
    <w:p>
      <w:pPr>
        <w:spacing w:after="120" w:before="80"/>
      </w:pPr>
      <w:r>
        <w:rPr>
          <w:rFonts w:ascii="Arial" w:cs="Arial" w:eastAsia="Arial" w:hAnsi="Arial"/>
          <w:color w:val="2C3E50"/>
          <w:sz w:val="22"/>
          <w:szCs w:val="22"/>
        </w:rPr>
        <w:t xml:space="preserve">This question will arise. The honest answer is that both tools solve adjacent problems but neither solves this one.</w:t>
      </w:r>
    </w:p>
    <w:p>
      <w:pPr>
        <w:spacing w:after="60" w:before="60"/>
      </w:pPr>
      <w:r>
        <w:t xml:space="preserve"/>
      </w:r>
    </w:p>
    <w:p>
      <w:pPr>
        <w:pStyle w:val="Heading3"/>
        <w:spacing w:after="80" w:before="200"/>
      </w:pPr>
      <w:r>
        <w:rPr>
          <w:rFonts w:ascii="Arial" w:cs="Arial" w:eastAsia="Arial" w:hAnsi="Arial"/>
          <w:b/>
          <w:bCs/>
          <w:color w:val="2C3E50"/>
          <w:sz w:val="22"/>
          <w:szCs w:val="22"/>
        </w:rPr>
        <w:t xml:space="preserve">Portkey</w:t>
      </w:r>
    </w:p>
    <w:p>
      <w:pPr>
        <w:spacing w:after="120" w:before="80"/>
      </w:pPr>
      <w:r>
        <w:rPr>
          <w:rFonts w:ascii="Arial" w:cs="Arial" w:eastAsia="Arial" w:hAnsi="Arial"/>
          <w:color w:val="2C3E50"/>
          <w:sz w:val="22"/>
          <w:szCs w:val="22"/>
        </w:rPr>
        <w:t xml:space="preserve">Portkey is a technical AI gateway. It routes between models, tracks costs, filters harmful content, and manages MCP server connections. It has no concept of your organisation’s data classification scheme, approval hierarchies, use case registry, or business risk tiers. It cannot determine that a request touching billing records requires a named approver before output leaves the system. It routes on technical criteria, not business policy. You would still need to build the classification and policy resolution layer — at which point you have built SoRR Control, with Portkey as one component underneath it.</w:t>
      </w:r>
    </w:p>
    <w:p>
      <w:pPr>
        <w:spacing w:after="60" w:before="60"/>
      </w:pPr>
      <w:r>
        <w:t xml:space="preserve"/>
      </w:r>
    </w:p>
    <w:p>
      <w:pPr>
        <w:pStyle w:val="Heading3"/>
        <w:spacing w:after="80" w:before="200"/>
      </w:pPr>
      <w:r>
        <w:rPr>
          <w:rFonts w:ascii="Arial" w:cs="Arial" w:eastAsia="Arial" w:hAnsi="Arial"/>
          <w:b/>
          <w:bCs/>
          <w:color w:val="2C3E50"/>
          <w:sz w:val="22"/>
          <w:szCs w:val="22"/>
        </w:rPr>
        <w:t xml:space="preserve">ServiceNow AI Control Tower</w:t>
      </w:r>
    </w:p>
    <w:p>
      <w:pPr>
        <w:spacing w:after="120" w:before="80"/>
      </w:pPr>
      <w:r>
        <w:rPr>
          <w:rFonts w:ascii="Arial" w:cs="Arial" w:eastAsia="Arial" w:hAnsi="Arial"/>
          <w:color w:val="2C3E50"/>
          <w:sz w:val="22"/>
          <w:szCs w:val="22"/>
        </w:rPr>
        <w:t xml:space="preserve">ServiceNow’s AI Control Tower governs ServiceNow’s own agents and workflows. It does not intercept and classify arbitrary employee requests to Claude, Cowork, or external MCP-connected agents. It is also a significant procurement, implementation, and licensing commitment for a problem that needs solving in weeks, not quarters. And it assumes ServiceNow is already your system of record for AI governance.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D5D8DC" w:sz="1"/>
              <w:left w:val="single" w:color="D5D8DC" w:sz="1"/>
              <w:bottom w:val="single" w:color="D5D8DC" w:sz="1"/>
              <w:right w:val="single" w:color="D5D8DC" w:sz="1"/>
            </w:tcBorders>
            <w:shd w:fill="C0392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w:t>
            </w:r>
          </w:p>
        </w:tc>
        <w:tc>
          <w:tcPr>
            <w:tcW w:type="dxa" w:w="8960"/>
            <w:tcBorders>
              <w:top w:val="single" w:color="D5D8DC" w:sz="1"/>
              <w:left w:val="single" w:color="D5D8DC" w:sz="1"/>
              <w:bottom w:val="single" w:color="D5D8DC" w:sz="1"/>
              <w:right w:val="single" w:color="D5D8DC" w:sz="1"/>
            </w:tcBorders>
            <w:shd w:fill="FBEAEA" w:val="clear"/>
            <w:tcMar>
              <w:top w:type="dxa" w:w="100"/>
              <w:left w:type="dxa" w:w="160"/>
              <w:bottom w:type="dxa" w:w="100"/>
              <w:right w:type="dxa" w:w="160"/>
            </w:tcMar>
          </w:tcPr>
          <w:p>
            <w:pPr>
              <w:spacing w:after="20" w:before="40"/>
            </w:pPr>
            <w:r>
              <w:rPr>
                <w:rFonts w:ascii="Arial" w:cs="Arial" w:eastAsia="Arial" w:hAnsi="Arial"/>
                <w:b/>
                <w:bCs/>
                <w:color w:val="C0392B"/>
                <w:sz w:val="20"/>
                <w:szCs w:val="20"/>
              </w:rPr>
              <w:t xml:space="preserve">The test question</w:t>
            </w:r>
          </w:p>
          <w:p>
            <w:pPr>
              <w:spacing w:after="40" w:before="20"/>
            </w:pPr>
            <w:r>
              <w:rPr>
                <w:rFonts w:ascii="Arial" w:cs="Arial" w:eastAsia="Arial" w:hAnsi="Arial"/>
                <w:color w:val="2C3E50"/>
                <w:sz w:val="20"/>
                <w:szCs w:val="20"/>
              </w:rPr>
              <w:t xml:space="preserve">Which of those tools would have caught a product manager sending customer billing data to an ungoverned Claude agent this morning and created an immutable audit record? Neither. That is the gap SoRR Control fills.</w:t>
            </w:r>
          </w:p>
        </w:tc>
      </w:tr>
    </w:tbl>
    <w:p>
      <w:pPr>
        <w:spacing w:after="60" w:before="60"/>
      </w:pPr>
      <w:r>
        <w:t xml:space="preserve"/>
      </w:r>
    </w:p>
    <w:p>
      <w:pPr>
        <w:spacing w:after="120" w:before="80"/>
      </w:pPr>
      <w:r>
        <w:rPr>
          <w:rFonts w:ascii="Arial" w:cs="Arial" w:eastAsia="Arial" w:hAnsi="Arial"/>
          <w:color w:val="2C3E50"/>
          <w:sz w:val="22"/>
          <w:szCs w:val="22"/>
        </w:rPr>
        <w:t xml:space="preserve">SoRR Control is not competing with either tool. In the target architecture, Portkey sits underneath the execution layer as the technical gateway, and existing approval workflow tooling handles human-in-the-loop flows. SoRR Control is the policy resolution and routing brain that connects those components to your actual business rules.</w:t>
      </w:r>
    </w:p>
    <w:p>
      <w:pPr>
        <w:spacing w:after="60" w:before="60"/>
      </w:pPr>
      <w:r>
        <w:t xml:space="preserve"/>
      </w:r>
    </w:p>
    <w:p>
      <w:pPr>
        <w:pStyle w:val="Heading1"/>
        <w:pBdr>
          <w:bottom w:val="single" w:color="1E3A5F" w:sz="8" w:space="6"/>
        </w:pBdr>
        <w:spacing w:after="160" w:before="360"/>
      </w:pPr>
      <w:r>
        <w:rPr>
          <w:rFonts w:ascii="Arial" w:cs="Arial" w:eastAsia="Arial" w:hAnsi="Arial"/>
          <w:b/>
          <w:bCs/>
          <w:color w:val="1E3A5F"/>
          <w:sz w:val="32"/>
          <w:szCs w:val="32"/>
        </w:rPr>
        <w:t xml:space="preserve">7. The pitch to each stakeholder</w:t>
      </w:r>
    </w:p>
    <w:p>
      <w:pPr>
        <w:pStyle w:val="Heading2"/>
        <w:spacing w:after="120" w:before="280"/>
      </w:pPr>
      <w:r>
        <w:rPr>
          <w:rFonts w:ascii="Arial" w:cs="Arial" w:eastAsia="Arial" w:hAnsi="Arial"/>
          <w:b/>
          <w:bCs/>
          <w:color w:val="1E3A5F"/>
          <w:sz w:val="26"/>
          <w:szCs w:val="26"/>
        </w:rPr>
        <w:t xml:space="preserve">For the security and cyber team</w:t>
      </w:r>
    </w:p>
    <w:p>
      <w:pPr>
        <w:spacing w:after="120" w:before="80"/>
      </w:pPr>
      <w:r>
        <w:rPr>
          <w:rFonts w:ascii="Arial" w:cs="Arial" w:eastAsia="Arial" w:hAnsi="Arial"/>
          <w:color w:val="2C3E50"/>
          <w:sz w:val="22"/>
          <w:szCs w:val="22"/>
        </w:rPr>
        <w:t xml:space="preserve">The pitch is straightforward because SoRR Control is an extension of controls you already operate. IAM governs identity. DLP governs data movement. SIEM provides audit and detection. SoRR Control extends those controls into the AI request layer, which currently has none of them.</w:t>
      </w:r>
    </w:p>
    <w:p>
      <w:pPr>
        <w:spacing w:after="60" w:before="60"/>
      </w:pPr>
      <w:r>
        <w:t xml:space="preserve"/>
      </w:r>
    </w:p>
    <w:p>
      <w:pPr>
        <w:spacing w:after="120" w:before="80"/>
      </w:pPr>
      <w:r>
        <w:rPr>
          <w:rFonts w:ascii="Arial" w:cs="Arial" w:eastAsia="Arial" w:hAnsi="Arial"/>
          <w:color w:val="2C3E50"/>
          <w:sz w:val="22"/>
          <w:szCs w:val="22"/>
        </w:rPr>
        <w:t xml:space="preserve">Specifically, it provides:</w:t>
      </w:r>
    </w:p>
    <w:p>
      <w:pPr>
        <w:pStyle w:val="ListParagraph"/>
        <w:numPr>
          <w:ilvl w:val="0"/>
          <w:numId w:val="2"/>
        </w:numPr>
        <w:spacing w:after="60" w:before="60"/>
      </w:pPr>
      <w:r>
        <w:rPr>
          <w:rFonts w:ascii="Arial" w:cs="Arial" w:eastAsia="Arial" w:hAnsi="Arial"/>
          <w:color w:val="2C3E50"/>
          <w:sz w:val="22"/>
          <w:szCs w:val="22"/>
        </w:rPr>
        <w:t xml:space="preserve">Visibility into every AI request that touches a governed system — who asked, what they asked, what policy bundle applied, what route was taken, what tools were invoked, what output was produced</w:t>
      </w:r>
    </w:p>
    <w:p>
      <w:pPr>
        <w:pStyle w:val="ListParagraph"/>
        <w:numPr>
          <w:ilvl w:val="0"/>
          <w:numId w:val="2"/>
        </w:numPr>
        <w:spacing w:after="60" w:before="60"/>
      </w:pPr>
      <w:r>
        <w:rPr>
          <w:rFonts w:ascii="Arial" w:cs="Arial" w:eastAsia="Arial" w:hAnsi="Arial"/>
          <w:color w:val="2C3E50"/>
          <w:sz w:val="22"/>
          <w:szCs w:val="22"/>
        </w:rPr>
        <w:t xml:space="preserve">Enforcement that MCP-connected tools cannot be invoked outside a governed context, eliminating the confused deputy and tool poisoning attack surface for your most sensitive systems</w:t>
      </w:r>
    </w:p>
    <w:p>
      <w:pPr>
        <w:pStyle w:val="ListParagraph"/>
        <w:numPr>
          <w:ilvl w:val="0"/>
          <w:numId w:val="2"/>
        </w:numPr>
        <w:spacing w:after="60" w:before="60"/>
      </w:pPr>
      <w:r>
        <w:rPr>
          <w:rFonts w:ascii="Arial" w:cs="Arial" w:eastAsia="Arial" w:hAnsi="Arial"/>
          <w:color w:val="2C3E50"/>
          <w:sz w:val="22"/>
          <w:szCs w:val="22"/>
        </w:rPr>
        <w:t xml:space="preserve">An immutable audit log that supports incident investigation, compliance reporting, and regulatory inquiry</w:t>
      </w:r>
    </w:p>
    <w:p>
      <w:pPr>
        <w:pStyle w:val="ListParagraph"/>
        <w:numPr>
          <w:ilvl w:val="0"/>
          <w:numId w:val="2"/>
        </w:numPr>
        <w:spacing w:after="60" w:before="60"/>
      </w:pPr>
      <w:r>
        <w:rPr>
          <w:rFonts w:ascii="Arial" w:cs="Arial" w:eastAsia="Arial" w:hAnsi="Arial"/>
          <w:color w:val="2C3E50"/>
          <w:sz w:val="22"/>
          <w:szCs w:val="22"/>
        </w:rPr>
        <w:t xml:space="preserve">Approval gates on outputs that should not leave the organisation without human review, enforced at the system level rather than by policy memo</w:t>
      </w:r>
    </w:p>
    <w:p>
      <w:pPr>
        <w:spacing w:after="60" w:before="60"/>
      </w:pPr>
      <w:r>
        <w:t xml:space="preserve"/>
      </w:r>
    </w:p>
    <w:p>
      <w:pPr>
        <w:spacing w:after="120" w:before="80"/>
      </w:pPr>
      <w:r>
        <w:rPr>
          <w:rFonts w:ascii="Arial" w:cs="Arial" w:eastAsia="Arial" w:hAnsi="Arial"/>
          <w:color w:val="2C3E50"/>
          <w:sz w:val="22"/>
          <w:szCs w:val="22"/>
        </w:rPr>
        <w:t xml:space="preserve">The alternative is not ‘no governance’ vs ‘governance’. It is ‘ungoverned agent access to live systems with no audit trail’ vs ‘governed agent access with full audit trail.’ Given the tool poisoning attack success rates documented against production MCP deployments, the former is not an acceptable risk position.</w:t>
      </w:r>
    </w:p>
    <w:p>
      <w:pPr>
        <w:spacing w:after="60" w:before="60"/>
      </w:pPr>
      <w:r>
        <w:t xml:space="preserve"/>
      </w:r>
    </w:p>
    <w:p>
      <w:pPr>
        <w:pStyle w:val="Heading2"/>
        <w:spacing w:after="120" w:before="280"/>
      </w:pPr>
      <w:r>
        <w:rPr>
          <w:rFonts w:ascii="Arial" w:cs="Arial" w:eastAsia="Arial" w:hAnsi="Arial"/>
          <w:b/>
          <w:bCs/>
          <w:color w:val="1E3A5F"/>
          <w:sz w:val="26"/>
          <w:szCs w:val="26"/>
        </w:rPr>
        <w:t xml:space="preserve">For the CPO</w:t>
      </w:r>
    </w:p>
    <w:p>
      <w:pPr>
        <w:spacing w:after="120" w:before="80"/>
      </w:pPr>
      <w:r>
        <w:rPr>
          <w:rFonts w:ascii="Arial" w:cs="Arial" w:eastAsia="Arial" w:hAnsi="Arial"/>
          <w:color w:val="2C3E50"/>
          <w:sz w:val="22"/>
          <w:szCs w:val="22"/>
        </w:rPr>
        <w:t xml:space="preserve">The governance layer is the thing that prevents the lockdown, not the thing that causes the slowdown.</w:t>
      </w:r>
    </w:p>
    <w:p>
      <w:pPr>
        <w:spacing w:after="60" w:before="60"/>
      </w:pPr>
      <w:r>
        <w:t xml:space="preserve"/>
      </w:r>
    </w:p>
    <w:p>
      <w:pPr>
        <w:spacing w:after="120" w:before="80"/>
      </w:pPr>
      <w:r>
        <w:rPr>
          <w:rFonts w:ascii="Arial" w:cs="Arial" w:eastAsia="Arial" w:hAnsi="Arial"/>
          <w:color w:val="2C3E50"/>
          <w:sz w:val="22"/>
          <w:szCs w:val="22"/>
        </w:rPr>
        <w:t xml:space="preserve">The CPO objection — that governance slows teams down — assumes the counterfactual is frictionless deployment. It is not. The counterfactual is: ungoverned deployment proceeds, an incident occurs involving customer data or a live system, security issues a blanket restriction or ban, and product teams lose weeks or months rebuilding trust and getting capability reinstated. This has happened at every major technology company that attempted ungoverned AI rollout.</w:t>
      </w:r>
    </w:p>
    <w:p>
      <w:pPr>
        <w:spacing w:after="60" w:before="60"/>
      </w:pPr>
      <w:r>
        <w:t xml:space="preserve"/>
      </w:r>
    </w:p>
    <w:p>
      <w:pPr>
        <w:spacing w:after="120" w:before="80"/>
      </w:pPr>
      <w:r>
        <w:rPr>
          <w:rFonts w:ascii="Arial" w:cs="Arial" w:eastAsia="Arial" w:hAnsi="Arial"/>
          <w:color w:val="2C3E50"/>
          <w:sz w:val="22"/>
          <w:szCs w:val="22"/>
        </w:rPr>
        <w:t xml:space="preserve">The data from IBM’s governed environment shows the opposite of the intuitive assumption: pre-approved policy rails collapse the decision time for new AI deployments from two weeks to minutes. Teams that operate within a governed fast lane move faster than teams that must negotiate bespoke security review for every new use case, because the rules are already resolved.</w:t>
      </w:r>
    </w:p>
    <w:p>
      <w:pPr>
        <w:spacing w:after="60" w:before="60"/>
      </w:pPr>
      <w:r>
        <w:t xml:space="preserve"/>
      </w:r>
    </w:p>
    <w:p>
      <w:pPr>
        <w:spacing w:after="120" w:before="80"/>
      </w:pPr>
      <w:r>
        <w:rPr>
          <w:rFonts w:ascii="Arial" w:cs="Arial" w:eastAsia="Arial" w:hAnsi="Arial"/>
          <w:color w:val="2C3E50"/>
          <w:sz w:val="22"/>
          <w:szCs w:val="22"/>
        </w:rPr>
        <w:t xml:space="preserve">The governance layer does not touch general Claude usage. Product staff continue to use Claude normally for reasoning, drafting, ideation, and productivity. The governance layer is invisible for everything below Tier 2. It is only present — and necessarily so — when requests involve live systems, sensitive data, or outputs with external consequences. That is not a constraint on product velocity. It is the condition under which product velocity can be sustained.</w:t>
      </w:r>
    </w:p>
    <w:p>
      <w:pPr>
        <w:spacing w:after="60" w:before="60"/>
      </w:pPr>
      <w:r>
        <w:t xml:space="preserve"/>
      </w:r>
    </w:p>
    <w:p>
      <w:pPr>
        <w:pStyle w:val="Heading1"/>
        <w:pBdr>
          <w:bottom w:val="single" w:color="1E3A5F" w:sz="8" w:space="6"/>
        </w:pBdr>
        <w:spacing w:after="160" w:before="360"/>
      </w:pPr>
      <w:r>
        <w:rPr>
          <w:rFonts w:ascii="Arial" w:cs="Arial" w:eastAsia="Arial" w:hAnsi="Arial"/>
          <w:b/>
          <w:bCs/>
          <w:color w:val="1E3A5F"/>
          <w:sz w:val="32"/>
          <w:szCs w:val="32"/>
        </w:rPr>
        <w:t xml:space="preserve">8. Recommended next steps</w:t>
      </w:r>
    </w:p>
    <w:p>
      <w:pPr>
        <w:spacing w:after="120" w:before="80"/>
      </w:pPr>
      <w:r>
        <w:rPr>
          <w:rFonts w:ascii="Arial" w:cs="Arial" w:eastAsia="Arial" w:hAnsi="Arial"/>
          <w:color w:val="2C3E50"/>
          <w:sz w:val="22"/>
          <w:szCs w:val="22"/>
        </w:rPr>
        <w:t xml:space="preserve">The recommended sequence is champion-first, build-second.</w:t>
      </w:r>
    </w:p>
    <w:p>
      <w:pPr>
        <w:spacing w:after="60" w:before="60"/>
      </w:pPr>
      <w:r>
        <w:t xml:space="preserve"/>
      </w:r>
    </w:p>
    <w:p>
      <w:pPr>
        <w:pStyle w:val="ListParagraph"/>
        <w:numPr>
          <w:ilvl w:val="0"/>
          <w:numId w:val="2"/>
        </w:numPr>
        <w:spacing w:after="60" w:before="60"/>
      </w:pPr>
      <w:r>
        <w:rPr>
          <w:rFonts w:ascii="Arial" w:cs="Arial" w:eastAsia="Arial" w:hAnsi="Arial"/>
          <w:color w:val="2C3E50"/>
          <w:sz w:val="22"/>
          <w:szCs w:val="22"/>
        </w:rPr>
        <w:t xml:space="preserve">Get informal buy-in from the security team within the next two weeks. Show the policy boundary matrix and the three-route execution model. The MCP attack vector data is the opening frame.</w:t>
      </w:r>
    </w:p>
    <w:p>
      <w:pPr>
        <w:pStyle w:val="ListParagraph"/>
        <w:numPr>
          <w:ilvl w:val="0"/>
          <w:numId w:val="2"/>
        </w:numPr>
        <w:spacing w:after="60" w:before="60"/>
      </w:pPr>
      <w:r>
        <w:rPr>
          <w:rFonts w:ascii="Arial" w:cs="Arial" w:eastAsia="Arial" w:hAnsi="Arial"/>
          <w:color w:val="2C3E50"/>
          <w:sz w:val="22"/>
          <w:szCs w:val="22"/>
        </w:rPr>
        <w:t xml:space="preserve">Once there is qualified security team interest, proceed to v0 build. The v0 scope is bounded: auth, request input, five use cases, three risk tiers, three mock execution routes, and a full audit log. This is testable end to end without real MCP connectors.</w:t>
      </w:r>
    </w:p>
    <w:p>
      <w:pPr>
        <w:pStyle w:val="ListParagraph"/>
        <w:numPr>
          <w:ilvl w:val="0"/>
          <w:numId w:val="2"/>
        </w:numPr>
        <w:spacing w:after="60" w:before="60"/>
      </w:pPr>
      <w:r>
        <w:rPr>
          <w:rFonts w:ascii="Arial" w:cs="Arial" w:eastAsia="Arial" w:hAnsi="Arial"/>
          <w:color w:val="2C3E50"/>
          <w:sz w:val="22"/>
          <w:szCs w:val="22"/>
        </w:rPr>
        <w:t xml:space="preserve">Use the v0 demo to get CPO visibility. The pitch is not ‘governance’ — it is ‘this is what the fast lane looks like.’ Low-risk requests resolve in seconds. Approval flows are automatic. The audit trail is invisible to users unless something goes wrong.</w:t>
      </w:r>
    </w:p>
    <w:p>
      <w:pPr>
        <w:pStyle w:val="ListParagraph"/>
        <w:numPr>
          <w:ilvl w:val="0"/>
          <w:numId w:val="2"/>
        </w:numPr>
        <w:spacing w:after="60" w:before="60"/>
      </w:pPr>
      <w:r>
        <w:rPr>
          <w:rFonts w:ascii="Arial" w:cs="Arial" w:eastAsia="Arial" w:hAnsi="Arial"/>
          <w:color w:val="2C3E50"/>
          <w:sz w:val="22"/>
          <w:szCs w:val="22"/>
        </w:rPr>
        <w:t xml:space="preserve">V1 adds real MCP tool calls (read-only first), real approval queue with notification, and the admin UI for managing use cases and approver groups. This is the version that goes to all product staff.</w:t>
      </w:r>
    </w:p>
    <w:p>
      <w:pPr>
        <w:spacing w:after="60" w:before="60"/>
      </w:pPr>
      <w:r>
        <w:t xml:space="preserve"/>
      </w:r>
    </w:p>
    <w:p>
      <w:pPr>
        <w:spacing w:after="120" w:before="80"/>
      </w:pPr>
      <w:r>
        <w:rPr>
          <w:rFonts w:ascii="Arial" w:cs="Arial" w:eastAsia="Arial" w:hAnsi="Arial"/>
          <w:color w:val="2C3E50"/>
          <w:sz w:val="22"/>
          <w:szCs w:val="22"/>
        </w:rPr>
        <w:t xml:space="preserve">The governance market is growing at 35–51% CAGR. No existing off-the-shelf product delivers request-level classification, policy bundle resolution, and multi-path routing across Claude, Cowork, and MCP-connected agents in a single layer. The organisations that build this infrastructure now compound the advantage as agent capability and system integration deepen through 2026. The organisations that delay follow the Chaos–Ban–Shadow cycle instead.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EBF0F8" w:val="clear"/>
            <w:tcMar>
              <w:top w:type="dxa" w:w="200"/>
              <w:left w:type="dxa" w:w="240"/>
              <w:bottom w:type="dxa" w:w="200"/>
              <w:right w:type="dxa" w:w="240"/>
            </w:tcMar>
          </w:tcPr>
          <w:p>
            <w:pPr>
              <w:spacing w:after="80" w:before="40"/>
            </w:pPr>
            <w:r>
              <w:rPr>
                <w:rFonts w:ascii="Arial" w:cs="Arial" w:eastAsia="Arial" w:hAnsi="Arial"/>
                <w:b/>
                <w:bCs/>
                <w:color w:val="1E3A5F"/>
                <w:sz w:val="22"/>
                <w:szCs w:val="22"/>
              </w:rPr>
              <w:t xml:space="preserve">Bottom line</w:t>
            </w:r>
          </w:p>
          <w:p>
            <w:pPr>
              <w:spacing w:after="40" w:before="40"/>
            </w:pPr>
            <w:r>
              <w:rPr>
                <w:rFonts w:ascii="Arial" w:cs="Arial" w:eastAsia="Arial" w:hAnsi="Arial"/>
                <w:color w:val="2C3E50"/>
                <w:sz w:val="22"/>
                <w:szCs w:val="22"/>
              </w:rPr>
              <w:t xml:space="preserve">A governed fast lane is always faster than ungoverned chaos followed by an incident-driven lockdown. The security team gets visibility and control. Product teams get approved speed. The organisation avoids the 3–6 month productivity loss that follows every uncontrolled AI deployment that goes wrong. Build the control layer before the incident that makes it mandatory.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8"/>
      </w:pBdr>
      <w:jc w:val="right"/>
    </w:pPr>
    <w:r>
      <w:rPr>
        <w:rFonts w:ascii="Arial" w:cs="Arial" w:eastAsia="Arial" w:hAnsi="Arial"/>
        <w:color w:val="999999"/>
        <w:sz w:val="18"/>
        <w:szCs w:val="18"/>
      </w:rPr>
      <w:t xml:space="preserve">SoRR Control — Internal Business Case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2026-03-21T09:41:24.428Z</dcterms:created>
  <dcterms:modified xsi:type="dcterms:W3CDTF">2026-03-21T09:41:24.429Z</dcterms:modified>
</cp:coreProperties>
</file>

<file path=docProps/custom.xml><?xml version="1.0" encoding="utf-8"?>
<Properties xmlns="http://schemas.openxmlformats.org/officeDocument/2006/custom-properties" xmlns:vt="http://schemas.openxmlformats.org/officeDocument/2006/docPropsVTypes"/>
</file>