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Proprietà di equivalenza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Siano P, R e Q delle FBF.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Idempotenza: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P or P = P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P and P = P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Commutatività: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P or Q = Q or 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P and Q = Q and P</w:t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Associatività: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(P or Q) or R = P or (Q or R)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(P and Q) and R = P and (Q and R)</w:t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Legge di De Morgan: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not(P or Q) = (not P) and (not Q)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not(P and Q) = (not P) or (not Q)</w:t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Distributività: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P or (Q and R) = (P or Q) and (P or 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0"/>
        <w:rPr>
          <w:b w:val="0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P and (Q or R) = (P and Q) or (P and R)</w:t>
      </w:r>
    </w:p>
    <w:p w:rsidR="00000000" w:rsidDel="00000000" w:rsidP="00000000" w:rsidRDefault="00000000" w:rsidRPr="00000000">
      <w:pPr>
        <w:contextualSpacing w:val="0"/>
        <w:rPr>
          <w:b w:val="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u w:val="none"/>
          <w:rtl w:val="0"/>
        </w:rPr>
        <w:t xml:space="preserve">Esempi sulle proprietà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De Morgan: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(P or Q) = not(not(P or Q)) = not(not P and not Q) = not(not p) or not(not q)</w:t>
      </w:r>
    </w:p>
    <w:p w:rsidR="00000000" w:rsidDel="00000000" w:rsidP="00000000" w:rsidRDefault="00000000" w:rsidRPr="00000000">
      <w:pPr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Varie: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P and Q and P = P and (Q and P) = (Q and P) and P = Q and (P and P) = Q and 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commutativa                                      associativa       idempotenza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Forma normale congiuntiva (FNC)</w:t>
      </w:r>
    </w:p>
    <w:p w:rsidR="00000000" w:rsidDel="00000000" w:rsidP="00000000" w:rsidRDefault="00000000" w:rsidRPr="00000000">
      <w:pPr>
        <w:contextualSpacing w:val="0"/>
        <w:rPr>
          <w:b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Una formula si dice in FNC quando ogni elemento di una congiunzione è una disgiunzione di letterali. (Letterali es. A; not A)</w:t>
      </w:r>
    </w:p>
    <w:p w:rsidR="00000000" w:rsidDel="00000000" w:rsidP="00000000" w:rsidRDefault="00000000" w:rsidRPr="00000000">
      <w:pPr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P1 and P2 and P3 and P4 … and PN è in FNC solamente se ogni P è disgiunzione di letterali.</w:t>
      </w:r>
    </w:p>
    <w:p w:rsidR="00000000" w:rsidDel="00000000" w:rsidP="00000000" w:rsidRDefault="00000000" w:rsidRPr="00000000">
      <w:pPr>
        <w:contextualSpacing w:val="0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Esempi FNC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(A or B) and (not B or C) and (not C) </w:t>
        <w:tab/>
      </w:r>
      <w:r w:rsidDel="00000000" w:rsidR="00000000" w:rsidRPr="00000000">
        <w:rPr>
          <w:b w:val="1"/>
          <w:i w:val="0"/>
          <w:rtl w:val="0"/>
        </w:rPr>
        <w:t xml:space="preserve">è in FNC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</w:rPr>
      </w:pPr>
      <w:r w:rsidDel="00000000" w:rsidR="00000000" w:rsidRPr="00000000">
        <w:rPr>
          <w:b w:val="0"/>
          <w:i w:val="0"/>
          <w:rtl w:val="0"/>
        </w:rPr>
        <w:t xml:space="preserve">(not B or C) and (A or (B and C)) </w:t>
        <w:tab/>
        <w:tab/>
      </w:r>
      <w:r w:rsidDel="00000000" w:rsidR="00000000" w:rsidRPr="00000000">
        <w:rPr>
          <w:b w:val="1"/>
          <w:i w:val="0"/>
          <w:rtl w:val="0"/>
        </w:rPr>
        <w:t xml:space="preserve">NON è in FNC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30"/>
          <w:szCs w:val="30"/>
        </w:rPr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Forma normale disgiuntiva (FND)</w:t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Una formula si dice in FND quando ogni elemento di una disgiunzione è una congiunzione di letterali. </w:t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P1 or P2 or P3 or P4 … or PN è in FND solamente se ogni P è congiunzione di letterali.</w:t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Esempio FND</w:t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(C and not D) or (E and F and G) or F or A </w:t>
        <w:tab/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è in FND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NB. Nelle forme normali non può comparire l’implicazione, è quindi da sostituirsi con una FBF equivalente. (Es. P → Q = not P or 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Durante la normalizzazione di una formula sono da seguirsi i seguenti passaggi:</w:t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Eliminazione delle implicazioni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Applicare De Morgan per rimuovere le negazioni davanti la formula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Eliminare eventuali doppie negazioni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b w:val="0"/>
          <w:i w:val="0"/>
          <w:sz w:val="24"/>
          <w:szCs w:val="24"/>
          <w:rtl w:val="0"/>
        </w:rPr>
        <w:t xml:space="preserve">Applicare la distributività</w:t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24"/>
          <w:szCs w:val="24"/>
        </w:rPr>
      </w:pP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sz w:val="30"/>
          <w:szCs w:val="30"/>
        </w:rPr>
      </w:pPr>
      <w:r w:rsidDel="00000000" w:rsidR="00000000" w:rsidRPr="00000000">
        <w:rPr>
          <w:b w:val="1"/>
          <w:i w:val="0"/>
          <w:sz w:val="30"/>
          <w:szCs w:val="30"/>
          <w:rtl w:val="0"/>
        </w:rPr>
        <w:t xml:space="preserve">Calcolo dei predicati</w:t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color w:val="8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color w:val="800000"/>
          <w:sz w:val="30"/>
          <w:szCs w:val="30"/>
        </w:rPr>
      </w:pPr>
      <w:r w:rsidDel="00000000" w:rsidR="00000000" w:rsidRPr="00000000">
        <w:rPr>
          <w:b w:val="1"/>
          <w:i w:val="0"/>
          <w:color w:val="800000"/>
          <w:sz w:val="30"/>
          <w:szCs w:val="30"/>
          <w:rtl w:val="0"/>
        </w:rPr>
        <w:t xml:space="preserve">Aggiungere Schemi qui (Vedi appunti di Marco)</w:t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color w:val="800000"/>
          <w:sz w:val="30"/>
          <w:szCs w:val="30"/>
        </w:rPr>
      </w:pPr>
      <w:r w:rsidDel="00000000" w:rsidR="00000000" w:rsidRPr="00000000">
        <w:rPr>
          <w:b w:val="1"/>
          <w:i w:val="0"/>
          <w:color w:val="800000"/>
          <w:sz w:val="30"/>
          <w:szCs w:val="30"/>
          <w:rtl w:val="0"/>
        </w:rPr>
        <w:t xml:space="preserve">Socrate, Cose mortali e via discorrendo</w:t>
      </w:r>
    </w:p>
    <w:p w:rsidR="00000000" w:rsidDel="00000000" w:rsidP="00000000" w:rsidRDefault="00000000" w:rsidRPr="00000000">
      <w:pPr>
        <w:contextualSpacing w:val="0"/>
        <w:rPr>
          <w:b w:val="1"/>
          <w:i w:val="0"/>
          <w:color w:val="8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Termine del linguaggio: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Se c’è una costante, diventa un termine.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Se X è una variabile del linguaggio, diventa un termine.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Se T1 e T2 sono termini ed F è un simbolo, applicando F a T1 e a T2 ottengo un termine. (Es. F(T1,T2)).</w:t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FBF: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Se PN è un simbolo di predicato n-ario e T1,T2,T3, … TN; allora PN(T1,T2,T3, … TN) è una FBF.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Se P e Q sono FBF, allora P and Q, P or Q, not P, not Q, P → Q; sono FBF.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Se P è una FBF, e X è una variabile del linguaggio, allora (Per ogni X in P) ed (Esiste una X in P tale che...) sono FBF. 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( Es. Per ogni x (P(x) → P(Q)) Esiste X tale che (P(x) and Q(X)) )</w:t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b w:val="0"/>
          <w:i w:val="0"/>
          <w:color w:val="000000"/>
          <w:sz w:val="24"/>
          <w:szCs w:val="24"/>
          <w:rtl w:val="0"/>
        </w:rPr>
        <w:t xml:space="preserve">Interpretazione:</w:t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