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1A2E"/>
          <w:sz w:val="40"/>
          <w:szCs w:val="40"/>
        </w:rPr>
        <w:t xml:space="preserve">Neural Semantic Alignment for Silent Speech Recognition</w:t>
      </w:r>
    </w:p>
    <w:p>
      <w:pPr>
        <w:spacing w:after="60" w:before="0"/>
        <w:jc w:val="center"/>
      </w:pPr>
      <w:r>
        <w:rPr>
          <w:rFonts w:ascii="Arial" w:cs="Arial" w:eastAsia="Arial" w:hAnsi="Arial"/>
          <w:i/>
          <w:iCs/>
          <w:color w:val="2C5F8A"/>
          <w:sz w:val="26"/>
          <w:szCs w:val="26"/>
        </w:rPr>
        <w:t xml:space="preserve">Mapping Subvocalization EMG Signals to AI Semantic Latent Space via 1D-CNN Encoder</w:t>
      </w:r>
    </w:p>
    <w:p>
      <w:pPr>
        <w:spacing w:after="40" w:before="60"/>
        <w:jc w:val="center"/>
      </w:pPr>
      <w:r>
        <w:rPr>
          <w:rFonts w:ascii="Arial" w:cs="Arial" w:eastAsia="Arial" w:hAnsi="Arial"/>
          <w:color w:val="888888"/>
          <w:sz w:val="20"/>
          <w:szCs w:val="20"/>
        </w:rPr>
        <w:t xml:space="preserve">Independent Research Manuscript  —  2025</w:t>
      </w:r>
    </w:p>
    <w:p>
      <w:pPr>
        <w:pBdr>
          <w:bottom w:val="single" w:color="2C5F8A" w:sz="8" w:space="1"/>
        </w:pBdr>
        <w:spacing w:after="60" w:before="60"/>
      </w:pPr>
    </w:p>
    <w:p>
      <w:pPr>
        <w:spacing w:after="80" w:before="200"/>
        <w:jc w:val="center"/>
      </w:pPr>
      <w:r>
        <w:rPr>
          <w:rFonts w:ascii="Arial" w:cs="Arial" w:eastAsia="Arial" w:hAnsi="Arial"/>
          <w:b/>
          <w:bCs/>
          <w:color w:val="1F3864"/>
          <w:sz w:val="26"/>
          <w:szCs w:val="26"/>
        </w:rPr>
        <w:t xml:space="preserve">Abstract</w:t>
      </w:r>
    </w:p>
    <w:p>
      <w:pPr>
        <w:spacing w:after="80" w:before="0" w:line="276"/>
        <w:jc w:val="both"/>
      </w:pPr>
      <w:r>
        <w:rPr>
          <w:rFonts w:ascii="Times New Roman" w:cs="Times New Roman" w:eastAsia="Times New Roman" w:hAnsi="Times New Roman"/>
          <w:sz w:val="22"/>
          <w:szCs w:val="22"/>
        </w:rPr>
        <w:t xml:space="preserve">We propose </w:t>
      </w:r>
      <w:r>
        <w:rPr>
          <w:rFonts w:ascii="Times New Roman" w:cs="Times New Roman" w:eastAsia="Times New Roman" w:hAnsi="Times New Roman"/>
          <w:b/>
          <w:bCs/>
          <w:sz w:val="22"/>
          <w:szCs w:val="22"/>
        </w:rPr>
        <w:t xml:space="preserve">Neural Semantic Alignment (NSA)</w:t>
      </w:r>
      <w:r>
        <w:rPr>
          <w:rFonts w:ascii="Times New Roman" w:cs="Times New Roman" w:eastAsia="Times New Roman" w:hAnsi="Times New Roman"/>
          <w:sz w:val="22"/>
          <w:szCs w:val="22"/>
        </w:rPr>
        <w:t xml:space="preserve">, a novel framework that maps raw surface electromyography (sEMG) signals recorded during subvocalization directly into the semantic latent space of artificial neural networks. Unlike prior approaches that collapse temporal information via global pooling or hand-crafted feature extraction, NSA preserves the full temporal structure of the multi-channel EMG signal through a hierarchical 1D convolutional encoder. The extracted representation is then projected into a 256-dimensional semantic manifold via a fully-connected projection network, enabling end-to-end discrimination of silent speech classes without any acoustic intermediate. We formalize the </w:t>
      </w:r>
      <w:r>
        <w:rPr>
          <w:rFonts w:ascii="Times New Roman" w:cs="Times New Roman" w:eastAsia="Times New Roman" w:hAnsi="Times New Roman"/>
          <w:i/>
          <w:iCs/>
          <w:sz w:val="22"/>
          <w:szCs w:val="22"/>
        </w:rPr>
        <w:t xml:space="preserve">Subvocalization-Semantic Alignment Hypothesis</w:t>
      </w:r>
      <w:r>
        <w:rPr>
          <w:rFonts w:ascii="Times New Roman" w:cs="Times New Roman" w:eastAsia="Times New Roman" w:hAnsi="Times New Roman"/>
          <w:sz w:val="22"/>
          <w:szCs w:val="22"/>
        </w:rPr>
        <w:t xml:space="preserve">, which posits a learnable structural correspondence between myoelectric activation patterns and the token-predictive latent geometry of language models. The proposed architecture is validated on the Kaggle Silent Speech Raw EMG Dataset and the large-scale Gaddy &amp; Klein Zenodo corpus (~20 hours, 8-channel facial EMG). Experimental results demonstrate that NSA consistently outperforms temporal-averaging baselines and achieves competitive accuracy with substantially fewer parameters than transformer-based alternatives. This work opens a direct path toward brain-computer interfaces (BCI) that bypass acoustic transduction entirely.</w:t>
      </w:r>
    </w:p>
    <w:p>
      <w:pPr>
        <w:spacing w:after="160" w:before="8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silent speech recognition, surface EMG, subvocalization, latent space alignment, 1D convolutional neural network, brain-computer interface, semantic projection</w:t>
      </w:r>
    </w:p>
    <w:p>
      <w:pPr>
        <w:pBdr>
          <w:bottom w:val="single" w:color="2C5F8A" w:sz="8" w:space="1"/>
        </w:pBdr>
        <w:spacing w:after="60" w:before="60"/>
      </w:pPr>
    </w:p>
    <w:p>
      <w:pPr>
        <w:pStyle w:val="Heading2"/>
        <w:spacing w:after="80" w:before="280"/>
      </w:pPr>
      <w:r>
        <w:rPr>
          <w:rFonts w:ascii="Arial" w:cs="Arial" w:eastAsia="Arial" w:hAnsi="Arial"/>
          <w:b/>
          <w:bCs/>
          <w:color w:val="1F3864"/>
          <w:sz w:val="26"/>
          <w:szCs w:val="26"/>
        </w:rPr>
        <w:t xml:space="preserve">1. Introduction</w:t>
      </w:r>
    </w:p>
    <w:p>
      <w:pPr>
        <w:spacing w:after="120" w:before="0" w:line="276"/>
        <w:ind w:firstLine="480"/>
        <w:jc w:val="both"/>
      </w:pPr>
      <w:r>
        <w:rPr>
          <w:rFonts w:ascii="Times New Roman" w:cs="Times New Roman" w:eastAsia="Times New Roman" w:hAnsi="Times New Roman"/>
          <w:sz w:val="22"/>
          <w:szCs w:val="22"/>
        </w:rPr>
        <w:t xml:space="preserve">Speech is the primary modality of human communication, yet a significant portion of our cognitive speech — the </w:t>
      </w:r>
      <w:r>
        <w:rPr>
          <w:rFonts w:ascii="Times New Roman" w:cs="Times New Roman" w:eastAsia="Times New Roman" w:hAnsi="Times New Roman"/>
          <w:i/>
          <w:iCs/>
          <w:sz w:val="22"/>
          <w:szCs w:val="22"/>
        </w:rPr>
        <w:t xml:space="preserve">inner voice</w:t>
      </w:r>
      <w:r>
        <w:rPr>
          <w:rFonts w:ascii="Times New Roman" w:cs="Times New Roman" w:eastAsia="Times New Roman" w:hAnsi="Times New Roman"/>
          <w:sz w:val="22"/>
          <w:szCs w:val="22"/>
        </w:rPr>
        <w:t xml:space="preserve"> — never becomes acoustic. Subvocalization, defined as the covert articulation of words without audible sound production, is accompanied by measurable micro-activations in the orofacial and laryngeal musculature. These signals are detectable via surface electromyography (sEMG) placed on the face and neck, providing a non-invasive window into covert speech intent.</w:t>
      </w:r>
    </w:p>
    <w:p>
      <w:pPr>
        <w:spacing w:after="120" w:before="0" w:line="276"/>
        <w:ind w:firstLine="480"/>
        <w:jc w:val="both"/>
      </w:pPr>
      <w:r>
        <w:rPr>
          <w:rFonts w:ascii="Times New Roman" w:cs="Times New Roman" w:eastAsia="Times New Roman" w:hAnsi="Times New Roman"/>
          <w:sz w:val="22"/>
          <w:szCs w:val="22"/>
        </w:rPr>
        <w:t xml:space="preserve">Existing silent speech interfaces (SSIs) typically follow a two-stage pipeline: (1) feature engineering on the raw sEMG (e.g., root-mean-square envelopes, wavelet coefficients, mean absolute value) followed by (2) a shallow classifier such as SVM or LDA. While tractable, these systems discard the rich temporal dynamics embedded in the millisecond-resolution EMG waveform, limiting their discriminative capacity. Deep learning approaches have begun to close this gap, yet most architectures either collapse the temporal dimension prematurely or require expensive sequence-to-sequence decoding borrowed from speech acoustics.</w:t>
      </w:r>
    </w:p>
    <w:p>
      <w:pPr>
        <w:spacing w:after="120" w:before="0" w:line="276"/>
        <w:ind w:firstLine="480"/>
        <w:jc w:val="both"/>
      </w:pPr>
      <w:r>
        <w:rPr>
          <w:rFonts w:ascii="Times New Roman" w:cs="Times New Roman" w:eastAsia="Times New Roman" w:hAnsi="Times New Roman"/>
          <w:sz w:val="22"/>
          <w:szCs w:val="22"/>
        </w:rPr>
        <w:t xml:space="preserve">This paper proposes a fundamentally different lens: rather than treating silent speech recognition as a signal classification task, we reframe it as a </w:t>
      </w:r>
    </w:p>
    <w:p>
      <w:pPr>
        <w:spacing w:after="120" w:before="0" w:line="276"/>
        <w:ind w:firstLine="480"/>
        <w:jc w:val="both"/>
      </w:pPr>
      <w:r>
        <w:rPr>
          <w:rFonts w:ascii="Times New Roman" w:cs="Times New Roman" w:eastAsia="Times New Roman" w:hAnsi="Times New Roman"/>
          <w:sz w:val="22"/>
          <w:szCs w:val="22"/>
        </w:rPr>
        <w:t xml:space="preserve">This paper proposes a fundamentally different lens: rather than treating silent speech recognition as a signal classification task, we reframe it as a </w:t>
      </w:r>
      <w:r>
        <w:rPr>
          <w:rFonts w:ascii="Times New Roman" w:cs="Times New Roman" w:eastAsia="Times New Roman" w:hAnsi="Times New Roman"/>
          <w:i/>
          <w:iCs/>
          <w:sz w:val="22"/>
          <w:szCs w:val="22"/>
        </w:rPr>
        <w:t xml:space="preserve">latent space alignment problem</w:t>
      </w:r>
      <w:r>
        <w:rPr>
          <w:rFonts w:ascii="Times New Roman" w:cs="Times New Roman" w:eastAsia="Times New Roman" w:hAnsi="Times New Roman"/>
          <w:sz w:val="22"/>
          <w:szCs w:val="22"/>
        </w:rPr>
        <w:t xml:space="preserve">. We ask: can the internal representational geometry of a human's subvocalization be aligned with the semantic geometry that artificial neural networks use to represent language? If so, a single learned encoder can bridge the two spaces, enabling direct text prediction from raw muscle signals.</w:t>
      </w:r>
    </w:p>
    <w:p>
      <w:pPr>
        <w:spacing w:after="120" w:before="0" w:line="276"/>
        <w:ind w:firstLine="480"/>
        <w:jc w:val="both"/>
      </w:pPr>
      <w:r>
        <w:rPr>
          <w:rFonts w:ascii="Times New Roman" w:cs="Times New Roman" w:eastAsia="Times New Roman" w:hAnsi="Times New Roman"/>
          <w:sz w:val="22"/>
          <w:szCs w:val="22"/>
        </w:rPr>
        <w:t xml:space="preserve">We introduce the Subvocalization-Semantic Alignment Hypothesis (SSAH) and instantiate it via the Neural Semantic Aligner (NSA), a three-stage network comprising a temporal EMG encoder, a semantic projection module, and a linear decoder. The architecture is fully end-to-end trainable and requires no hand-crafted features.</w:t>
      </w:r>
    </w:p>
    <w:p>
      <w:pPr>
        <w:pBdr>
          <w:bottom w:val="single" w:color="DDDDDD" w:sz="8" w:space="1"/>
        </w:pBdr>
        <w:spacing w:after="60" w:before="60"/>
      </w:pPr>
    </w:p>
    <w:p>
      <w:pPr>
        <w:pStyle w:val="Heading2"/>
        <w:spacing w:after="80" w:before="280"/>
      </w:pPr>
      <w:r>
        <w:rPr>
          <w:rFonts w:ascii="Arial" w:cs="Arial" w:eastAsia="Arial" w:hAnsi="Arial"/>
          <w:b/>
          <w:bCs/>
          <w:color w:val="1F3864"/>
          <w:sz w:val="26"/>
          <w:szCs w:val="26"/>
        </w:rPr>
        <w:t xml:space="preserve">2. The Subvocalization-Semantic Alignment Hypothesis</w:t>
      </w:r>
    </w:p>
    <w:p>
      <w:pPr>
        <w:pStyle w:val="Heading3"/>
        <w:spacing w:after="60" w:before="200"/>
      </w:pPr>
      <w:r>
        <w:rPr>
          <w:rFonts w:ascii="Arial" w:cs="Arial" w:eastAsia="Arial" w:hAnsi="Arial"/>
          <w:b/>
          <w:bCs/>
          <w:i/>
          <w:iCs/>
          <w:color w:val="2C5F8A"/>
          <w:sz w:val="23"/>
          <w:szCs w:val="23"/>
        </w:rPr>
        <w:t xml:space="preserve">2.1  Theoretical Foundation</w:t>
      </w:r>
    </w:p>
    <w:p>
      <w:pPr>
        <w:spacing w:after="120" w:before="0" w:line="276"/>
        <w:ind w:firstLine="480"/>
        <w:jc w:val="both"/>
      </w:pPr>
      <w:r>
        <w:rPr>
          <w:rFonts w:ascii="Times New Roman" w:cs="Times New Roman" w:eastAsia="Times New Roman" w:hAnsi="Times New Roman"/>
          <w:sz w:val="22"/>
          <w:szCs w:val="22"/>
        </w:rPr>
        <w:t xml:space="preserve">Let x ∈ R^{C×T} denote a multi-channel EMG recording of C=8 channels and T=2,000 time frames. Let Φ_{LM} : V → R^d denote the token embedding function of a large language model, mapping vocabulary tokens to a d-dimensional semantic space. The SSAH posits that there exists a function f_θ : R^{C×T} → R^d such that:</w:t>
      </w:r>
    </w:p>
    <w:p>
      <w:pPr>
        <w:spacing w:after="100" w:before="100"/>
        <w:jc w:val="center"/>
      </w:pPr>
      <w:r>
        <w:rPr>
          <w:rFonts w:ascii="Courier New" w:cs="Courier New" w:eastAsia="Courier New" w:hAnsi="Courier New"/>
          <w:color w:val="1A1A2E"/>
          <w:sz w:val="20"/>
          <w:szCs w:val="20"/>
        </w:rPr>
        <w:t xml:space="preserve">f_θ(x_w)  ≈  Φ_{LM}(w)      for all words  w ∈ V</w:t>
      </w:r>
    </w:p>
    <w:p>
      <w:pPr>
        <w:spacing w:after="120" w:before="0" w:line="276"/>
        <w:ind w:firstLine="480"/>
        <w:jc w:val="both"/>
      </w:pPr>
      <w:r>
        <w:rPr>
          <w:rFonts w:ascii="Times New Roman" w:cs="Times New Roman" w:eastAsia="Times New Roman" w:hAnsi="Times New Roman"/>
          <w:sz w:val="22"/>
          <w:szCs w:val="22"/>
        </w:rPr>
        <w:t xml:space="preserve">where x_w denotes the EMG signal recorded during covert articulation of word w. In other words, the myoelectric patterns of subvocalization are hypothesized to be linearly decodable from a representation that is structurally homologous to language model embeddings.</w:t>
      </w:r>
    </w:p>
    <w:p>
      <w:pPr>
        <w:pStyle w:val="Heading3"/>
        <w:spacing w:after="60" w:before="200"/>
      </w:pPr>
      <w:r>
        <w:rPr>
          <w:rFonts w:ascii="Arial" w:cs="Arial" w:eastAsia="Arial" w:hAnsi="Arial"/>
          <w:b/>
          <w:bCs/>
          <w:i/>
          <w:iCs/>
          <w:color w:val="2C5F8A"/>
          <w:sz w:val="23"/>
          <w:szCs w:val="23"/>
        </w:rPr>
        <w:t xml:space="preserve">2.2  Neuroscientific Motivation</w:t>
      </w:r>
    </w:p>
    <w:p>
      <w:pPr>
        <w:spacing w:after="120" w:before="0" w:line="276"/>
        <w:ind w:firstLine="480"/>
        <w:jc w:val="both"/>
      </w:pPr>
      <w:r>
        <w:rPr>
          <w:rFonts w:ascii="Times New Roman" w:cs="Times New Roman" w:eastAsia="Times New Roman" w:hAnsi="Times New Roman"/>
          <w:sz w:val="22"/>
          <w:szCs w:val="22"/>
        </w:rPr>
        <w:t xml:space="preserve">The hypothesis is grounded in three converging lines of evidence. First, motor control theory (Bernstein, 1967; Wolpert et al., 1998) establishes that covert speech recruits the same motor programs as overt speech, merely attenuated below acoustic threshold. Second, neuroimaging studies (Tian &amp; Poeppel, 2010) demonstrate that Broca's area activates during subvocalization with a similar spatiotemporal pattern as during overt production. Third, computational linguistics (Mikolov et al., 2013; Pennington et al., 2014) has shown that distributional semantics — the statistical co-occurrence structure of language — organizes high-dimensional token embeddings into a metric space with geometric structure that mirrors human conceptual organization.</w:t>
      </w:r>
    </w:p>
    <w:p>
      <w:pPr>
        <w:spacing w:after="120" w:before="0" w:line="276"/>
        <w:ind w:firstLine="480"/>
        <w:jc w:val="both"/>
      </w:pPr>
      <w:r>
        <w:rPr>
          <w:rFonts w:ascii="Times New Roman" w:cs="Times New Roman" w:eastAsia="Times New Roman" w:hAnsi="Times New Roman"/>
          <w:sz w:val="22"/>
          <w:szCs w:val="22"/>
        </w:rPr>
        <w:t xml:space="preserve">If motor programs for speech are topographically organized in semantic space (as suggested by compositional motor planning), then the peripheral EMG readout of those programs should exhibit a parallel metric structure. NSA is designed to discover and exploit this alignment.</w:t>
      </w:r>
    </w:p>
    <w:p>
      <w:pPr>
        <w:pStyle w:val="Heading3"/>
        <w:spacing w:after="60" w:before="200"/>
      </w:pPr>
      <w:r>
        <w:rPr>
          <w:rFonts w:ascii="Arial" w:cs="Arial" w:eastAsia="Arial" w:hAnsi="Arial"/>
          <w:b/>
          <w:bCs/>
          <w:i/>
          <w:iCs/>
          <w:color w:val="2C5F8A"/>
          <w:sz w:val="23"/>
          <w:szCs w:val="23"/>
        </w:rPr>
        <w:t xml:space="preserve">2.3  Formal Claim</w:t>
      </w:r>
    </w:p>
    <w:p>
      <w:pPr>
        <w:spacing w:after="120" w:before="0" w:line="276"/>
        <w:ind w:firstLine="480"/>
        <w:jc w:val="both"/>
      </w:pPr>
      <w:r>
        <w:rPr>
          <w:rFonts w:ascii="Times New Roman" w:cs="Times New Roman" w:eastAsia="Times New Roman" w:hAnsi="Times New Roman"/>
          <w:sz w:val="22"/>
          <w:szCs w:val="22"/>
        </w:rPr>
        <w:t xml:space="preserve">Let Z_{EMG} = {f_θ(x_i)} and Z_{LM} = {Φ_{LM}(w_i)} denote the empirical distributions of EMG-derived and language-model-derived representations for a vocabulary V. The SSAH claims:</w:t>
      </w:r>
    </w:p>
    <w:p>
      <w:pPr>
        <w:spacing w:after="100" w:before="100"/>
        <w:jc w:val="center"/>
      </w:pPr>
      <w:r>
        <w:rPr>
          <w:rFonts w:ascii="Courier New" w:cs="Courier New" w:eastAsia="Courier New" w:hAnsi="Courier New"/>
          <w:color w:val="1A1A2E"/>
          <w:sz w:val="20"/>
          <w:szCs w:val="20"/>
        </w:rPr>
        <w:t xml:space="preserve">d(Z_{EMG}, Z_{LM})  ≤  ε      under an optimal θ*</w:t>
      </w:r>
    </w:p>
    <w:p>
      <w:pPr>
        <w:spacing w:after="120" w:before="0" w:line="276"/>
        <w:ind w:firstLine="480"/>
        <w:jc w:val="both"/>
      </w:pPr>
      <w:r>
        <w:rPr>
          <w:rFonts w:ascii="Times New Roman" w:cs="Times New Roman" w:eastAsia="Times New Roman" w:hAnsi="Times New Roman"/>
          <w:sz w:val="22"/>
          <w:szCs w:val="22"/>
        </w:rPr>
        <w:t xml:space="preserve">where d(·,·) is a distributional distance (e.g., Fréchet distance or maximum mean discrepancy) and ε is a small alignment residual. The current work operationalizes this via a cross-entropy objective over a closed vocabulary of sentence classes as a first empirical test.</w:t>
      </w:r>
    </w:p>
    <w:p>
      <w:pPr>
        <w:pBdr>
          <w:bottom w:val="single" w:color="DDDDDD" w:sz="8" w:space="1"/>
        </w:pBdr>
        <w:spacing w:after="60" w:before="60"/>
      </w:pPr>
    </w:p>
    <w:p>
      <w:pPr>
        <w:pStyle w:val="Heading2"/>
        <w:spacing w:after="80" w:before="280"/>
      </w:pPr>
      <w:r>
        <w:rPr>
          <w:rFonts w:ascii="Arial" w:cs="Arial" w:eastAsia="Arial" w:hAnsi="Arial"/>
          <w:b/>
          <w:bCs/>
          <w:color w:val="1F3864"/>
          <w:sz w:val="26"/>
          <w:szCs w:val="26"/>
        </w:rPr>
        <w:t xml:space="preserve">3. Methodology</w:t>
      </w:r>
    </w:p>
    <w:p>
      <w:pPr>
        <w:pStyle w:val="Heading3"/>
        <w:spacing w:after="60" w:before="200"/>
      </w:pPr>
      <w:r>
        <w:rPr>
          <w:rFonts w:ascii="Arial" w:cs="Arial" w:eastAsia="Arial" w:hAnsi="Arial"/>
          <w:b/>
          <w:bCs/>
          <w:i/>
          <w:iCs/>
          <w:color w:val="2C5F8A"/>
          <w:sz w:val="23"/>
          <w:szCs w:val="23"/>
        </w:rPr>
        <w:t xml:space="preserve">3.1  Data and Preprocessing</w:t>
      </w:r>
    </w:p>
    <w:p>
      <w:pPr>
        <w:spacing w:after="120" w:before="0" w:line="276"/>
        <w:ind w:firstLine="480"/>
        <w:jc w:val="both"/>
      </w:pPr>
      <w:r>
        <w:rPr>
          <w:rFonts w:ascii="Times New Roman" w:cs="Times New Roman" w:eastAsia="Times New Roman" w:hAnsi="Times New Roman"/>
          <w:sz w:val="22"/>
          <w:szCs w:val="22"/>
        </w:rPr>
        <w:t xml:space="preserve">Two datasets are supported. The primary development dataset is the Kaggle Silent Speech Raw EMG Dataset (Nepal, 2023), a pickled collection of labeled 8-channel sEMG recordings. The large-scale evaluation corpus is the Gaddy &amp; Klein Zenodo dataset (Gaddy &amp; Klein, 2020), comprising approximately 20 hours of facial EMG collected from a single speaker reading open-vocabulary text, stored as per-utterance NumPy arrays of shape (T, 8).</w:t>
      </w:r>
    </w:p>
    <w:p>
      <w:pPr>
        <w:spacing w:after="120" w:before="0" w:line="276"/>
        <w:ind w:firstLine="480"/>
        <w:jc w:val="both"/>
      </w:pPr>
      <w:r>
        <w:rPr>
          <w:rFonts w:ascii="Times New Roman" w:cs="Times New Roman" w:eastAsia="Times New Roman" w:hAnsi="Times New Roman"/>
          <w:sz w:val="22"/>
          <w:szCs w:val="22"/>
        </w:rPr>
        <w:t xml:space="preserve">All recordings are preprocessed through a uniform pipeline: (1) channel count normalization to exactly C=8 via zero-padding or truncation; (2) temporal normalization to T=2,000 frames via truncation or zero-padding at the signal tail; and (3) per-channel z-score standardization to remove DC offset and scale differences between electrode placements:</w:t>
      </w:r>
    </w:p>
    <w:p>
      <w:pPr>
        <w:spacing w:after="100" w:before="100"/>
        <w:jc w:val="center"/>
      </w:pPr>
      <w:r>
        <w:rPr>
          <w:rFonts w:ascii="Courier New" w:cs="Courier New" w:eastAsia="Courier New" w:hAnsi="Courier New"/>
          <w:color w:val="1A1A2E"/>
          <w:sz w:val="20"/>
          <w:szCs w:val="20"/>
        </w:rPr>
        <w:t xml:space="preserve">ʼx[t,c] = (x[t,c] − μ_c) / (σ_c + ε)     ε = 10⁻⁸</w:t>
      </w:r>
    </w:p>
    <w:p>
      <w:pPr>
        <w:spacing w:after="120" w:before="0" w:line="276"/>
        <w:ind w:firstLine="480"/>
        <w:jc w:val="both"/>
      </w:pPr>
      <w:r>
        <w:rPr>
          <w:rFonts w:ascii="Times New Roman" w:cs="Times New Roman" w:eastAsia="Times New Roman" w:hAnsi="Times New Roman"/>
          <w:sz w:val="22"/>
          <w:szCs w:val="22"/>
        </w:rPr>
        <w:t xml:space="preserve">The resulting tensor is transposed to shape (C, T) = (8, 2000) to conform to PyTorch's Conv1d convention of (batch, channels, length).</w:t>
      </w:r>
    </w:p>
    <w:p>
      <w:pPr>
        <w:pStyle w:val="Heading3"/>
        <w:spacing w:after="60" w:before="200"/>
      </w:pPr>
      <w:r>
        <w:rPr>
          <w:rFonts w:ascii="Arial" w:cs="Arial" w:eastAsia="Arial" w:hAnsi="Arial"/>
          <w:b/>
          <w:bCs/>
          <w:i/>
          <w:iCs/>
          <w:color w:val="2C5F8A"/>
          <w:sz w:val="23"/>
          <w:szCs w:val="23"/>
        </w:rPr>
        <w:t xml:space="preserve">3.2  Data Augmentation</w:t>
      </w:r>
    </w:p>
    <w:p>
      <w:pPr>
        <w:spacing w:after="120" w:before="0" w:line="276"/>
        <w:ind w:firstLine="480"/>
        <w:jc w:val="both"/>
      </w:pPr>
      <w:r>
        <w:rPr>
          <w:rFonts w:ascii="Times New Roman" w:cs="Times New Roman" w:eastAsia="Times New Roman" w:hAnsi="Times New Roman"/>
          <w:sz w:val="22"/>
          <w:szCs w:val="22"/>
        </w:rPr>
        <w:t xml:space="preserve">To combat overfitting and improve robustness to electrode displacement and inter-session variability, three augmentation strategies are applied on-the-fly during training:</w:t>
      </w:r>
    </w:p>
    <w:p>
      <w:pPr>
        <w:pStyle w:val="ListParagraph"/>
        <w:numPr>
          <w:ilvl w:val="0"/>
          <w:numId w:val="2"/>
        </w:numPr>
        <w:spacing w:after="60" w:before="0"/>
      </w:pPr>
      <w:r>
        <w:rPr>
          <w:rFonts w:ascii="Times New Roman" w:cs="Times New Roman" w:eastAsia="Times New Roman" w:hAnsi="Times New Roman"/>
          <w:b/>
          <w:bCs/>
          <w:sz w:val="22"/>
          <w:szCs w:val="22"/>
        </w:rPr>
        <w:t xml:space="preserve">Gaussian Noise Injection: </w:t>
      </w:r>
      <w:r>
        <w:rPr>
          <w:rFonts w:ascii="Times New Roman" w:cs="Times New Roman" w:eastAsia="Times New Roman" w:hAnsi="Times New Roman"/>
          <w:sz w:val="22"/>
          <w:szCs w:val="22"/>
        </w:rPr>
        <w:t xml:space="preserve">Additive white noise with σ=0.02 is applied element-wise. This simulates skin conductance variability and electrode impedance fluctuations.</w:t>
      </w:r>
    </w:p>
    <w:p>
      <w:pPr>
        <w:pStyle w:val="ListParagraph"/>
        <w:numPr>
          <w:ilvl w:val="0"/>
          <w:numId w:val="2"/>
        </w:numPr>
        <w:spacing w:after="60" w:before="0"/>
      </w:pPr>
      <w:r>
        <w:rPr>
          <w:rFonts w:ascii="Times New Roman" w:cs="Times New Roman" w:eastAsia="Times New Roman" w:hAnsi="Times New Roman"/>
          <w:b/>
          <w:bCs/>
          <w:sz w:val="22"/>
          <w:szCs w:val="22"/>
        </w:rPr>
        <w:t xml:space="preserve">Random Time Shift: </w:t>
      </w:r>
      <w:r>
        <w:rPr>
          <w:rFonts w:ascii="Times New Roman" w:cs="Times New Roman" w:eastAsia="Times New Roman" w:hAnsi="Times New Roman"/>
          <w:sz w:val="22"/>
          <w:szCs w:val="22"/>
        </w:rPr>
        <w:t xml:space="preserve">The entire signal is circularly shifted by a uniform random offset in [−50, +50] frames (~62.5 ms at 800 Hz), simulating variability in speech onset timing.</w:t>
      </w:r>
    </w:p>
    <w:p>
      <w:pPr>
        <w:pStyle w:val="ListParagraph"/>
        <w:numPr>
          <w:ilvl w:val="0"/>
          <w:numId w:val="2"/>
        </w:numPr>
        <w:spacing w:after="120" w:before="0"/>
      </w:pPr>
      <w:r>
        <w:rPr>
          <w:rFonts w:ascii="Times New Roman" w:cs="Times New Roman" w:eastAsia="Times New Roman" w:hAnsi="Times New Roman"/>
          <w:b/>
          <w:bCs/>
          <w:sz w:val="22"/>
          <w:szCs w:val="22"/>
        </w:rPr>
        <w:t xml:space="preserve">Channel Dropout: </w:t>
      </w:r>
      <w:r>
        <w:rPr>
          <w:rFonts w:ascii="Times New Roman" w:cs="Times New Roman" w:eastAsia="Times New Roman" w:hAnsi="Times New Roman"/>
          <w:sz w:val="22"/>
          <w:szCs w:val="22"/>
        </w:rPr>
        <w:t xml:space="preserve">Each channel is independently zeroed with probability p=0.1 per batch, encouraging the network to develop redundant representations across electrode sites.</w:t>
      </w:r>
    </w:p>
    <w:p>
      <w:pPr>
        <w:pStyle w:val="Heading3"/>
        <w:spacing w:after="60" w:before="200"/>
      </w:pPr>
      <w:r>
        <w:rPr>
          <w:rFonts w:ascii="Arial" w:cs="Arial" w:eastAsia="Arial" w:hAnsi="Arial"/>
          <w:b/>
          <w:bCs/>
          <w:i/>
          <w:iCs/>
          <w:color w:val="2C5F8A"/>
          <w:sz w:val="23"/>
          <w:szCs w:val="23"/>
        </w:rPr>
        <w:t xml:space="preserve">3.3  Network Architecture</w:t>
      </w:r>
    </w:p>
    <w:p>
      <w:pPr>
        <w:spacing w:after="120" w:before="0" w:line="276"/>
        <w:ind w:firstLine="480"/>
        <w:jc w:val="both"/>
      </w:pPr>
      <w:r>
        <w:rPr>
          <w:rFonts w:ascii="Times New Roman" w:cs="Times New Roman" w:eastAsia="Times New Roman" w:hAnsi="Times New Roman"/>
          <w:sz w:val="22"/>
          <w:szCs w:val="22"/>
        </w:rPr>
        <w:t xml:space="preserve">The NSA is a three-module cascade. We describe each module formally.</w:t>
      </w:r>
    </w:p>
    <w:p>
      <w:pPr>
        <w:pStyle w:val="Heading3"/>
        <w:spacing w:after="60" w:before="200"/>
      </w:pPr>
      <w:r>
        <w:rPr>
          <w:rFonts w:ascii="Arial" w:cs="Arial" w:eastAsia="Arial" w:hAnsi="Arial"/>
          <w:b/>
          <w:bCs/>
          <w:i/>
          <w:iCs/>
          <w:color w:val="2C5F8A"/>
          <w:sz w:val="23"/>
          <w:szCs w:val="23"/>
        </w:rPr>
        <w:t xml:space="preserve">3.3.1  EMG Temporal Encoder</w:t>
      </w:r>
    </w:p>
    <w:p>
      <w:pPr>
        <w:spacing w:after="120" w:before="0" w:line="276"/>
        <w:ind w:firstLine="480"/>
        <w:jc w:val="both"/>
      </w:pPr>
      <w:r>
        <w:rPr>
          <w:rFonts w:ascii="Times New Roman" w:cs="Times New Roman" w:eastAsia="Times New Roman" w:hAnsi="Times New Roman"/>
          <w:sz w:val="22"/>
          <w:szCs w:val="22"/>
        </w:rPr>
        <w:t xml:space="preserve">The encoder E_θ : R^{8×2000} → R^{512} is a hierarchical 1D convolutional network. Four convolutional blocks progressively increase the receptive field while reducing temporal resolution, before a global adaptive average pooling layer collapses the remaining time axis:</w:t>
      </w:r>
    </w:p>
    <w:p>
      <w:pPr>
        <w:spacing w:after="100" w:before="100"/>
        <w:jc w:val="center"/>
      </w:pPr>
      <w:r>
        <w:rPr>
          <w:rFonts w:ascii="Courier New" w:cs="Courier New" w:eastAsia="Courier New" w:hAnsi="Courier New"/>
          <w:color w:val="1A1A2E"/>
          <w:sz w:val="20"/>
          <w:szCs w:val="20"/>
        </w:rPr>
        <w:t xml:space="preserve">h₁ = MaxPool(ReLU(BN(Conv1d(x;  k=15, s=2, p=7, out=64))))</w:t>
      </w:r>
    </w:p>
    <w:p>
      <w:pPr>
        <w:spacing w:after="100" w:before="100"/>
        <w:jc w:val="center"/>
      </w:pPr>
      <w:r>
        <w:rPr>
          <w:rFonts w:ascii="Courier New" w:cs="Courier New" w:eastAsia="Courier New" w:hAnsi="Courier New"/>
          <w:color w:val="1A1A2E"/>
          <w:sz w:val="20"/>
          <w:szCs w:val="20"/>
        </w:rPr>
        <w:t xml:space="preserve">h₂ = MaxPool(ReLU(BN(Conv1d(h₁; k=7,  s=2, p=3, out=128))))</w:t>
      </w:r>
    </w:p>
    <w:p>
      <w:pPr>
        <w:spacing w:after="100" w:before="100"/>
        <w:jc w:val="center"/>
      </w:pPr>
      <w:r>
        <w:rPr>
          <w:rFonts w:ascii="Courier New" w:cs="Courier New" w:eastAsia="Courier New" w:hAnsi="Courier New"/>
          <w:color w:val="1A1A2E"/>
          <w:sz w:val="20"/>
          <w:szCs w:val="20"/>
        </w:rPr>
        <w:t xml:space="preserve">h₃ = ReLU(BN(Conv1d(h₂; k=5,  s=1, p=2, out=256)))</w:t>
      </w:r>
    </w:p>
    <w:p>
      <w:pPr>
        <w:spacing w:after="100" w:before="100"/>
        <w:jc w:val="center"/>
      </w:pPr>
      <w:r>
        <w:rPr>
          <w:rFonts w:ascii="Courier New" w:cs="Courier New" w:eastAsia="Courier New" w:hAnsi="Courier New"/>
          <w:color w:val="1A1A2E"/>
          <w:sz w:val="20"/>
          <w:szCs w:val="20"/>
        </w:rPr>
        <w:t xml:space="preserve">h₄ = AdaptiveAvgPool(ReLU(BN(Conv1d(h₃; k=3, s=1, p=1, out=512))))</w:t>
      </w:r>
    </w:p>
    <w:p>
      <w:pPr>
        <w:spacing w:after="120" w:before="0" w:line="276"/>
        <w:ind w:firstLine="480"/>
        <w:jc w:val="both"/>
      </w:pPr>
      <w:r>
        <w:rPr>
          <w:rFonts w:ascii="Times New Roman" w:cs="Times New Roman" w:eastAsia="Times New Roman" w:hAnsi="Times New Roman"/>
          <w:sz w:val="22"/>
          <w:szCs w:val="22"/>
        </w:rPr>
        <w:t xml:space="preserve">Batch normalization after each convolution stabilizes gradient flow. The use of AdaptiveAvgPool1d(1) rather than a fixed-size pooling layer makes the encoder invariant to minor variations in input length, an important robustness property given the diversity of utterance durations.</w:t>
      </w:r>
    </w:p>
    <w:p>
      <w:pPr>
        <w:spacing w:after="120" w:before="0" w:line="276"/>
        <w:ind w:firstLine="480"/>
        <w:jc w:val="both"/>
      </w:pPr>
      <w:r>
        <w:rPr>
          <w:rFonts w:ascii="Times New Roman" w:cs="Times New Roman" w:eastAsia="Times New Roman" w:hAnsi="Times New Roman"/>
          <w:sz w:val="22"/>
          <w:szCs w:val="22"/>
        </w:rPr>
        <w:t xml:space="preserve">Critically, no temporal averaging is performed before the final pooling: the encoder processes all T=2,000 frames, allowing it to capture both fine-grained spike patterns and coarse envelope dynamics. The effective receptive field of the fourth convolutional layer spans approximately 480 frames (~600 ms), sufficient to encode a monosyllable or short function word.</w:t>
      </w:r>
    </w:p>
    <w:p>
      <w:pPr>
        <w:pStyle w:val="Heading3"/>
        <w:spacing w:after="60" w:before="200"/>
      </w:pPr>
      <w:r>
        <w:rPr>
          <w:rFonts w:ascii="Arial" w:cs="Arial" w:eastAsia="Arial" w:hAnsi="Arial"/>
          <w:b/>
          <w:bCs/>
          <w:i/>
          <w:iCs/>
          <w:color w:val="2C5F8A"/>
          <w:sz w:val="23"/>
          <w:szCs w:val="23"/>
        </w:rPr>
        <w:t xml:space="preserve">3.3.2  Semantic Projection Network</w:t>
      </w:r>
    </w:p>
    <w:p>
      <w:pPr>
        <w:spacing w:after="120" w:before="0" w:line="276"/>
        <w:ind w:firstLine="480"/>
        <w:jc w:val="both"/>
      </w:pPr>
      <w:r>
        <w:rPr>
          <w:rFonts w:ascii="Times New Roman" w:cs="Times New Roman" w:eastAsia="Times New Roman" w:hAnsi="Times New Roman"/>
          <w:sz w:val="22"/>
          <w:szCs w:val="22"/>
        </w:rPr>
        <w:t xml:space="preserve">The projection network P_φ : R^{512} → R^{256} is a three-layer feedforward network with GELU activations, batch normalization, and stochastic dropout:</w:t>
      </w:r>
    </w:p>
    <w:p>
      <w:pPr>
        <w:spacing w:after="100" w:before="100"/>
        <w:jc w:val="center"/>
      </w:pPr>
      <w:r>
        <w:rPr>
          <w:rFonts w:ascii="Courier New" w:cs="Courier New" w:eastAsia="Courier New" w:hAnsi="Courier New"/>
          <w:color w:val="1A1A2E"/>
          <w:sz w:val="20"/>
          <w:szCs w:val="20"/>
        </w:rPr>
        <w:t xml:space="preserve">s₁ = GELU(BN(W₁ h₄ + b₁))    [512→ 1024, Dropout 0.4]</w:t>
      </w:r>
    </w:p>
    <w:p>
      <w:pPr>
        <w:spacing w:after="100" w:before="100"/>
        <w:jc w:val="center"/>
      </w:pPr>
      <w:r>
        <w:rPr>
          <w:rFonts w:ascii="Courier New" w:cs="Courier New" w:eastAsia="Courier New" w:hAnsi="Courier New"/>
          <w:color w:val="1A1A2E"/>
          <w:sz w:val="20"/>
          <w:szCs w:val="20"/>
        </w:rPr>
        <w:t xml:space="preserve">s₂ = GELU(W₂ s₁ + b₂)            [1024 → 512,  Dropout 0.3]</w:t>
      </w:r>
    </w:p>
    <w:p>
      <w:pPr>
        <w:spacing w:after="100" w:before="100"/>
        <w:jc w:val="center"/>
      </w:pPr>
      <w:r>
        <w:rPr>
          <w:rFonts w:ascii="Courier New" w:cs="Courier New" w:eastAsia="Courier New" w:hAnsi="Courier New"/>
          <w:color w:val="1A1A2E"/>
          <w:sz w:val="20"/>
          <w:szCs w:val="20"/>
        </w:rPr>
        <w:t xml:space="preserve">z  = GELU(W₃ s₂ + b₃)            [512 → 256]</w:t>
      </w:r>
    </w:p>
    <w:p>
      <w:pPr>
        <w:spacing w:after="120" w:before="0" w:line="276"/>
        <w:ind w:firstLine="480"/>
        <w:jc w:val="both"/>
      </w:pPr>
      <w:r>
        <w:rPr>
          <w:rFonts w:ascii="Times New Roman" w:cs="Times New Roman" w:eastAsia="Times New Roman" w:hAnsi="Times New Roman"/>
          <w:sz w:val="22"/>
          <w:szCs w:val="22"/>
        </w:rPr>
        <w:t xml:space="preserve">The 256-dimensional vector z is the semantic latent representation — the space hypothesized to be structurally aligned with the token embedding geometry of language models. GELU (Gaussian Error Linear Unit) activation is chosen over ReLU because its smooth, probabilistic gating is congruent with the activation statistics observed in transformer language models, facilitating the semantic alignment objective.</w:t>
      </w:r>
    </w:p>
    <w:p>
      <w:pPr>
        <w:pStyle w:val="Heading3"/>
        <w:spacing w:after="60" w:before="200"/>
      </w:pPr>
      <w:r>
        <w:rPr>
          <w:rFonts w:ascii="Arial" w:cs="Arial" w:eastAsia="Arial" w:hAnsi="Arial"/>
          <w:b/>
          <w:bCs/>
          <w:i/>
          <w:iCs/>
          <w:color w:val="2C5F8A"/>
          <w:sz w:val="23"/>
          <w:szCs w:val="23"/>
        </w:rPr>
        <w:t xml:space="preserve">3.3.3  Decoder</w:t>
      </w:r>
    </w:p>
    <w:p>
      <w:pPr>
        <w:spacing w:after="120" w:before="0" w:line="276"/>
        <w:ind w:firstLine="480"/>
        <w:jc w:val="both"/>
      </w:pPr>
      <w:r>
        <w:rPr>
          <w:rFonts w:ascii="Times New Roman" w:cs="Times New Roman" w:eastAsia="Times New Roman" w:hAnsi="Times New Roman"/>
          <w:sz w:val="22"/>
          <w:szCs w:val="22"/>
        </w:rPr>
        <w:t xml:space="preserve">A single linear layer D_ψ : R^{256} → R^{N_c} maps the semantic representation to class logits, where N_c is the number of distinct sentence classes:</w:t>
      </w:r>
    </w:p>
    <w:p>
      <w:pPr>
        <w:spacing w:after="100" w:before="100"/>
        <w:jc w:val="center"/>
      </w:pPr>
      <w:r>
        <w:rPr>
          <w:rFonts w:ascii="Courier New" w:cs="Courier New" w:eastAsia="Courier New" w:hAnsi="Courier New"/>
          <w:color w:val="1A1A2E"/>
          <w:sz w:val="20"/>
          <w:szCs w:val="20"/>
        </w:rPr>
        <w:t xml:space="preserve">ŷ = D_ψ(z) = Wz + b</w:t>
      </w:r>
    </w:p>
    <w:p>
      <w:pPr>
        <w:spacing w:after="120" w:before="0" w:line="276"/>
        <w:ind w:firstLine="480"/>
        <w:jc w:val="both"/>
      </w:pPr>
      <w:r>
        <w:rPr>
          <w:rFonts w:ascii="Times New Roman" w:cs="Times New Roman" w:eastAsia="Times New Roman" w:hAnsi="Times New Roman"/>
          <w:sz w:val="22"/>
          <w:szCs w:val="22"/>
        </w:rPr>
        <w:t xml:space="preserve">The linear decoder is deliberately simple: any non-linear capacity required for discrimination should be learned in the semantic projection, not the decoder. This design ensures that z is informative and linearly separable, analogous to the linear probe paradigm used to evaluate the quality of self-supervised representations.</w:t>
      </w:r>
    </w:p>
    <w:p>
      <w:pPr>
        <w:spacing w:after="0" w:before="0"/>
      </w:pPr>
      <w:r>
        <w:t xml:space="preserve"/>
      </w:r>
    </w:p>
    <w:p>
      <w:pPr>
        <w:spacing w:after="160" w:before="40"/>
        <w:jc w:val="center"/>
      </w:pPr>
      <w:r>
        <w:rPr>
          <w:rFonts w:ascii="Arial" w:cs="Arial" w:eastAsia="Arial" w:hAnsi="Arial"/>
          <w:i/>
          <w:iCs/>
          <w:color w:val="555555"/>
          <w:sz w:val="18"/>
          <w:szCs w:val="18"/>
        </w:rPr>
        <w:t xml:space="preserve">Table 1. Layer-by-layer summary of the Neural Semantic Aligner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c>
          <w:tcPr>
            <w:tcW w:type="dxa" w:w="22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Layer</w:t>
            </w:r>
          </w:p>
        </w:tc>
        <w:tc>
          <w:tcPr>
            <w:tcW w:type="dxa" w:w="22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Operation</w:t>
            </w:r>
          </w:p>
        </w:tc>
        <w:tc>
          <w:tcPr>
            <w:tcW w:type="dxa" w:w="22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Output Shape</w:t>
            </w:r>
          </w:p>
        </w:tc>
        <w:tc>
          <w:tcPr>
            <w:tcW w:type="dxa" w:w="2200"/>
            <w:tcBorders>
              <w:top w:val="single" w:color="B8CCE4" w:sz="1"/>
              <w:left w:val="single" w:color="B8CCE4" w:sz="1"/>
              <w:bottom w:val="single" w:color="B8CCE4" w:sz="1"/>
              <w:right w:val="single" w:color="B8CCE4"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Activation</w:t>
            </w:r>
          </w:p>
        </w:tc>
      </w:tr>
      <w:tr>
        <w:tc>
          <w:tcPr>
            <w:tcW w:type="dxa" w:w="2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Input</w:t>
            </w:r>
          </w:p>
        </w:tc>
        <w:tc>
          <w:tcPr>
            <w:tcW w:type="dxa" w:w="3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Raw EMG Signal</w:t>
            </w:r>
          </w:p>
        </w:tc>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(8, 2000)</w:t>
            </w:r>
          </w:p>
        </w:tc>
        <w:tc>
          <w:tcPr>
            <w:tcW w:type="dxa" w:w="21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r>
      <w:tr>
        <w:tc>
          <w:tcPr>
            <w:tcW w:type="dxa" w:w="2200"/>
            <w:tcBorders>
              <w:top w:val="single" w:color="B8CCE4" w:sz="1"/>
              <w:left w:val="single" w:color="B8CCE4" w:sz="1"/>
              <w:bottom w:val="single" w:color="B8CCE4" w:sz="1"/>
              <w:right w:val="single" w:color="B8CCE4" w:sz="1"/>
            </w:tcBorders>
            <w:shd w:fill="EBF2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Conv1d-1</w:t>
            </w:r>
          </w:p>
        </w:tc>
        <w:tc>
          <w:tcPr>
            <w:tcW w:type="dxa" w:w="3000"/>
            <w:tcBorders>
              <w:top w:val="single" w:color="B8CCE4" w:sz="1"/>
              <w:left w:val="single" w:color="B8CCE4" w:sz="1"/>
              <w:bottom w:val="single" w:color="B8CCE4" w:sz="1"/>
              <w:right w:val="single" w:color="B8CCE4" w:sz="1"/>
            </w:tcBorders>
            <w:shd w:fill="EBF2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k=15, s=2, p=7 → MaxPool×2</w:t>
            </w:r>
          </w:p>
        </w:tc>
        <w:tc>
          <w:tcPr>
            <w:tcW w:type="dxa" w:w="2000"/>
            <w:tcBorders>
              <w:top w:val="single" w:color="B8CCE4" w:sz="1"/>
              <w:left w:val="single" w:color="B8CCE4" w:sz="1"/>
              <w:bottom w:val="single" w:color="B8CCE4" w:sz="1"/>
              <w:right w:val="single" w:color="B8CCE4" w:sz="1"/>
            </w:tcBorders>
            <w:shd w:fill="EBF2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(64, 250)</w:t>
            </w:r>
          </w:p>
        </w:tc>
        <w:tc>
          <w:tcPr>
            <w:tcW w:type="dxa" w:w="2160"/>
            <w:tcBorders>
              <w:top w:val="single" w:color="B8CCE4" w:sz="1"/>
              <w:left w:val="single" w:color="B8CCE4" w:sz="1"/>
              <w:bottom w:val="single" w:color="B8CCE4" w:sz="1"/>
              <w:right w:val="single" w:color="B8CCE4" w:sz="1"/>
            </w:tcBorders>
            <w:shd w:fill="EBF2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ReLU + BN</w:t>
            </w:r>
          </w:p>
        </w:tc>
      </w:tr>
      <w:tr>
        <w:tc>
          <w:tcPr>
            <w:tcW w:type="dxa" w:w="2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Conv1d-2</w:t>
            </w:r>
          </w:p>
        </w:tc>
        <w:tc>
          <w:tcPr>
            <w:tcW w:type="dxa" w:w="3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k=7, s=2, p=3 → MaxPool×2</w:t>
            </w:r>
          </w:p>
        </w:tc>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(128, 31)</w:t>
            </w:r>
          </w:p>
        </w:tc>
        <w:tc>
          <w:tcPr>
            <w:tcW w:type="dxa" w:w="21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ReLU + BN</w:t>
            </w:r>
          </w:p>
        </w:tc>
      </w:tr>
      <w:tr>
        <w:tc>
          <w:tcPr>
            <w:tcW w:type="dxa" w:w="2200"/>
            <w:tcBorders>
              <w:top w:val="single" w:color="B8CCE4" w:sz="1"/>
              <w:left w:val="single" w:color="B8CCE4" w:sz="1"/>
              <w:bottom w:val="single" w:color="B8CCE4" w:sz="1"/>
              <w:right w:val="single" w:color="B8CCE4" w:sz="1"/>
            </w:tcBorders>
            <w:shd w:fill="EBF2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Conv1d-3</w:t>
            </w:r>
          </w:p>
        </w:tc>
        <w:tc>
          <w:tcPr>
            <w:tcW w:type="dxa" w:w="3000"/>
            <w:tcBorders>
              <w:top w:val="single" w:color="B8CCE4" w:sz="1"/>
              <w:left w:val="single" w:color="B8CCE4" w:sz="1"/>
              <w:bottom w:val="single" w:color="B8CCE4" w:sz="1"/>
              <w:right w:val="single" w:color="B8CCE4" w:sz="1"/>
            </w:tcBorders>
            <w:shd w:fill="EBF2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k=5, s=1, p=2</w:t>
            </w:r>
          </w:p>
        </w:tc>
        <w:tc>
          <w:tcPr>
            <w:tcW w:type="dxa" w:w="2000"/>
            <w:tcBorders>
              <w:top w:val="single" w:color="B8CCE4" w:sz="1"/>
              <w:left w:val="single" w:color="B8CCE4" w:sz="1"/>
              <w:bottom w:val="single" w:color="B8CCE4" w:sz="1"/>
              <w:right w:val="single" w:color="B8CCE4" w:sz="1"/>
            </w:tcBorders>
            <w:shd w:fill="EBF2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(256, 31)</w:t>
            </w:r>
          </w:p>
        </w:tc>
        <w:tc>
          <w:tcPr>
            <w:tcW w:type="dxa" w:w="2160"/>
            <w:tcBorders>
              <w:top w:val="single" w:color="B8CCE4" w:sz="1"/>
              <w:left w:val="single" w:color="B8CCE4" w:sz="1"/>
              <w:bottom w:val="single" w:color="B8CCE4" w:sz="1"/>
              <w:right w:val="single" w:color="B8CCE4" w:sz="1"/>
            </w:tcBorders>
            <w:shd w:fill="EBF2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ReLU + BN</w:t>
            </w:r>
          </w:p>
        </w:tc>
      </w:tr>
      <w:tr>
        <w:tc>
          <w:tcPr>
            <w:tcW w:type="dxa" w:w="2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Conv1d-4</w:t>
            </w:r>
          </w:p>
        </w:tc>
        <w:tc>
          <w:tcPr>
            <w:tcW w:type="dxa" w:w="3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k=3, s=1, p=1 → AvgPool</w:t>
            </w:r>
          </w:p>
        </w:tc>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(512, 1)</w:t>
            </w:r>
          </w:p>
        </w:tc>
        <w:tc>
          <w:tcPr>
            <w:tcW w:type="dxa" w:w="21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ReLU + BN</w:t>
            </w:r>
          </w:p>
        </w:tc>
      </w:tr>
      <w:tr>
        <w:tc>
          <w:tcPr>
            <w:tcW w:type="dxa" w:w="2200"/>
            <w:tcBorders>
              <w:top w:val="single" w:color="B8CCE4" w:sz="1"/>
              <w:left w:val="single" w:color="B8CCE4" w:sz="1"/>
              <w:bottom w:val="single" w:color="B8CCE4" w:sz="1"/>
              <w:right w:val="single" w:color="B8CCE4" w:sz="1"/>
            </w:tcBorders>
            <w:shd w:fill="EBF2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Linear-1</w:t>
            </w:r>
          </w:p>
        </w:tc>
        <w:tc>
          <w:tcPr>
            <w:tcW w:type="dxa" w:w="3000"/>
            <w:tcBorders>
              <w:top w:val="single" w:color="B8CCE4" w:sz="1"/>
              <w:left w:val="single" w:color="B8CCE4" w:sz="1"/>
              <w:bottom w:val="single" w:color="B8CCE4" w:sz="1"/>
              <w:right w:val="single" w:color="B8CCE4" w:sz="1"/>
            </w:tcBorders>
            <w:shd w:fill="EBF2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512 → 1024 + Dropout(0.4)</w:t>
            </w:r>
          </w:p>
        </w:tc>
        <w:tc>
          <w:tcPr>
            <w:tcW w:type="dxa" w:w="2000"/>
            <w:tcBorders>
              <w:top w:val="single" w:color="B8CCE4" w:sz="1"/>
              <w:left w:val="single" w:color="B8CCE4" w:sz="1"/>
              <w:bottom w:val="single" w:color="B8CCE4" w:sz="1"/>
              <w:right w:val="single" w:color="B8CCE4" w:sz="1"/>
            </w:tcBorders>
            <w:shd w:fill="EBF2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(1024)</w:t>
            </w:r>
          </w:p>
        </w:tc>
        <w:tc>
          <w:tcPr>
            <w:tcW w:type="dxa" w:w="2160"/>
            <w:tcBorders>
              <w:top w:val="single" w:color="B8CCE4" w:sz="1"/>
              <w:left w:val="single" w:color="B8CCE4" w:sz="1"/>
              <w:bottom w:val="single" w:color="B8CCE4" w:sz="1"/>
              <w:right w:val="single" w:color="B8CCE4" w:sz="1"/>
            </w:tcBorders>
            <w:shd w:fill="EBF2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GELU + BN</w:t>
            </w:r>
          </w:p>
        </w:tc>
      </w:tr>
      <w:tr>
        <w:tc>
          <w:tcPr>
            <w:tcW w:type="dxa" w:w="2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Linear-2</w:t>
            </w:r>
          </w:p>
        </w:tc>
        <w:tc>
          <w:tcPr>
            <w:tcW w:type="dxa" w:w="3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1024 → 512 + Dropout(0.3)</w:t>
            </w:r>
          </w:p>
        </w:tc>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(512)</w:t>
            </w:r>
          </w:p>
        </w:tc>
        <w:tc>
          <w:tcPr>
            <w:tcW w:type="dxa" w:w="21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GELU</w:t>
            </w:r>
          </w:p>
        </w:tc>
      </w:tr>
      <w:tr>
        <w:tc>
          <w:tcPr>
            <w:tcW w:type="dxa" w:w="2200"/>
            <w:tcBorders>
              <w:top w:val="single" w:color="B8CCE4" w:sz="1"/>
              <w:left w:val="single" w:color="B8CCE4" w:sz="1"/>
              <w:bottom w:val="single" w:color="B8CCE4" w:sz="1"/>
              <w:right w:val="single" w:color="B8CCE4" w:sz="1"/>
            </w:tcBorders>
            <w:shd w:fill="EBF2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Linear-3 (Semantic)</w:t>
            </w:r>
          </w:p>
        </w:tc>
        <w:tc>
          <w:tcPr>
            <w:tcW w:type="dxa" w:w="3000"/>
            <w:tcBorders>
              <w:top w:val="single" w:color="B8CCE4" w:sz="1"/>
              <w:left w:val="single" w:color="B8CCE4" w:sz="1"/>
              <w:bottom w:val="single" w:color="B8CCE4" w:sz="1"/>
              <w:right w:val="single" w:color="B8CCE4" w:sz="1"/>
            </w:tcBorders>
            <w:shd w:fill="EBF2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512 → 256</w:t>
            </w:r>
          </w:p>
        </w:tc>
        <w:tc>
          <w:tcPr>
            <w:tcW w:type="dxa" w:w="2000"/>
            <w:tcBorders>
              <w:top w:val="single" w:color="B8CCE4" w:sz="1"/>
              <w:left w:val="single" w:color="B8CCE4" w:sz="1"/>
              <w:bottom w:val="single" w:color="B8CCE4" w:sz="1"/>
              <w:right w:val="single" w:color="B8CCE4" w:sz="1"/>
            </w:tcBorders>
            <w:shd w:fill="EBF2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(256)</w:t>
            </w:r>
          </w:p>
        </w:tc>
        <w:tc>
          <w:tcPr>
            <w:tcW w:type="dxa" w:w="2160"/>
            <w:tcBorders>
              <w:top w:val="single" w:color="B8CCE4" w:sz="1"/>
              <w:left w:val="single" w:color="B8CCE4" w:sz="1"/>
              <w:bottom w:val="single" w:color="B8CCE4" w:sz="1"/>
              <w:right w:val="single" w:color="B8CCE4" w:sz="1"/>
            </w:tcBorders>
            <w:shd w:fill="EBF2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GELU</w:t>
            </w:r>
          </w:p>
        </w:tc>
      </w:tr>
      <w:tr>
        <w:tc>
          <w:tcPr>
            <w:tcW w:type="dxa" w:w="22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Decoder</w:t>
            </w:r>
          </w:p>
        </w:tc>
        <w:tc>
          <w:tcPr>
            <w:tcW w:type="dxa" w:w="3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256 → N_classes</w:t>
            </w:r>
          </w:p>
        </w:tc>
        <w:tc>
          <w:tcPr>
            <w:tcW w:type="dxa" w:w="200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w:t>
            </w:r>
          </w:p>
        </w:tc>
        <w:tc>
          <w:tcPr>
            <w:tcW w:type="dxa" w:w="216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Softmax</w:t>
            </w:r>
          </w:p>
        </w:tc>
      </w:tr>
    </w:tbl>
    <w:p>
      <w:pPr>
        <w:spacing w:after="0" w:before="160"/>
      </w:pPr>
      <w:r>
        <w:t xml:space="preserve"/>
      </w:r>
    </w:p>
    <w:p>
      <w:pPr>
        <w:pStyle w:val="Heading3"/>
        <w:spacing w:after="60" w:before="200"/>
      </w:pPr>
      <w:r>
        <w:rPr>
          <w:rFonts w:ascii="Arial" w:cs="Arial" w:eastAsia="Arial" w:hAnsi="Arial"/>
          <w:b/>
          <w:bCs/>
          <w:i/>
          <w:iCs/>
          <w:color w:val="2C5F8A"/>
          <w:sz w:val="23"/>
          <w:szCs w:val="23"/>
        </w:rPr>
        <w:t xml:space="preserve">3.4  Training Objective and Optimization</w:t>
      </w:r>
    </w:p>
    <w:p>
      <w:pPr>
        <w:spacing w:after="120" w:before="0" w:line="276"/>
        <w:ind w:firstLine="480"/>
        <w:jc w:val="both"/>
      </w:pPr>
      <w:r>
        <w:rPr>
          <w:rFonts w:ascii="Times New Roman" w:cs="Times New Roman" w:eastAsia="Times New Roman" w:hAnsi="Times New Roman"/>
          <w:sz w:val="22"/>
          <w:szCs w:val="22"/>
        </w:rPr>
        <w:t xml:space="preserve">The model is trained end-to-end under the categorical cross-entropy loss:</w:t>
      </w:r>
    </w:p>
    <w:p>
      <w:pPr>
        <w:spacing w:after="100" w:before="100"/>
        <w:jc w:val="center"/>
      </w:pPr>
      <w:r>
        <w:rPr>
          <w:rFonts w:ascii="Courier New" w:cs="Courier New" w:eastAsia="Courier New" w:hAnsi="Courier New"/>
          <w:color w:val="1A1A2E"/>
          <w:sz w:val="20"/>
          <w:szCs w:val="20"/>
        </w:rPr>
        <w:t xml:space="preserve">ℒ = − Σ_{i=1}^{N} y_i · log softmax(ŷ_i)</w:t>
      </w:r>
    </w:p>
    <w:p>
      <w:pPr>
        <w:spacing w:after="120" w:before="0" w:line="276"/>
        <w:ind w:firstLine="480"/>
        <w:jc w:val="both"/>
      </w:pPr>
      <w:r>
        <w:rPr>
          <w:rFonts w:ascii="Times New Roman" w:cs="Times New Roman" w:eastAsia="Times New Roman" w:hAnsi="Times New Roman"/>
          <w:sz w:val="22"/>
          <w:szCs w:val="22"/>
        </w:rPr>
        <w:t xml:space="preserve">Optimization uses AdamW (Loshchilov &amp; Hutter, 2019) with a learning rate of η=10⁻³ and L2 weight decay λ=10⁻⁴. The learning rate follows a CosineAnnealingLR schedule over T_{max}=150 epochs, annealing η to near zero without discrete drops. Gradient norms are clipped to 1.0 to prevent exploding gradients during early training when the semantic projection weights are large.</w:t>
      </w:r>
    </w:p>
    <w:p>
      <w:pPr>
        <w:spacing w:after="120" w:before="0" w:line="276"/>
        <w:ind w:firstLine="480"/>
        <w:jc w:val="both"/>
      </w:pPr>
      <w:r>
        <w:rPr>
          <w:rFonts w:ascii="Times New Roman" w:cs="Times New Roman" w:eastAsia="Times New Roman" w:hAnsi="Times New Roman"/>
          <w:sz w:val="22"/>
          <w:szCs w:val="22"/>
        </w:rPr>
        <w:t xml:space="preserve">Training terminates early if the validation accuracy fails to improve for 15 consecutive epochs. The best checkpoint (by validation accuracy) is saved and restored for final evaluation.</w:t>
      </w:r>
    </w:p>
    <w:p>
      <w:pPr>
        <w:spacing w:after="0" w:before="0"/>
      </w:pPr>
      <w:r>
        <w:t xml:space="preserve"/>
      </w:r>
    </w:p>
    <w:p>
      <w:pPr>
        <w:spacing w:after="160" w:before="40"/>
        <w:jc w:val="center"/>
      </w:pPr>
      <w:r>
        <w:rPr>
          <w:rFonts w:ascii="Arial" w:cs="Arial" w:eastAsia="Arial" w:hAnsi="Arial"/>
          <w:i/>
          <w:iCs/>
          <w:color w:val="555555"/>
          <w:sz w:val="18"/>
          <w:szCs w:val="18"/>
        </w:rPr>
        <w:t xml:space="preserve">Table 2. Training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8CCE4" w:sz="1"/>
              <w:left w:val="single" w:color="B8CCE4" w:sz="1"/>
              <w:bottom w:val="single" w:color="B8CCE4" w:sz="1"/>
              <w:right w:val="single" w:color="B8CCE4" w:sz="1"/>
            </w:tcBorders>
            <w:shd w:fill="2C5F8A" w:val="clear"/>
            <w:tcMar>
              <w:top w:type="dxa" w:w="60"/>
              <w:left w:type="dxa" w:w="120"/>
              <w:bottom w:type="dxa" w:w="60"/>
              <w:right w:type="dxa" w:w="120"/>
            </w:tcMar>
          </w:tcPr>
          <w:p>
            <w:pPr>
              <w:jc w:val="left"/>
            </w:pPr>
            <w:r>
              <w:rPr>
                <w:rFonts w:ascii="Arial" w:cs="Arial" w:eastAsia="Arial" w:hAnsi="Arial"/>
                <w:b/>
                <w:bCs/>
                <w:color w:val="FFFFFF"/>
                <w:sz w:val="19"/>
                <w:szCs w:val="19"/>
              </w:rPr>
              <w:t xml:space="preserve">Hyperparameter</w:t>
            </w:r>
          </w:p>
        </w:tc>
        <w:tc>
          <w:tcPr>
            <w:tcW w:type="dxa" w:w="5360"/>
            <w:tcBorders>
              <w:top w:val="single" w:color="B8CCE4" w:sz="1"/>
              <w:left w:val="single" w:color="B8CCE4" w:sz="1"/>
              <w:bottom w:val="single" w:color="B8CCE4" w:sz="1"/>
              <w:right w:val="single" w:color="B8CCE4" w:sz="1"/>
            </w:tcBorders>
            <w:shd w:fill="2C5F8A" w:val="clear"/>
            <w:tcMar>
              <w:top w:type="dxa" w:w="60"/>
              <w:left w:type="dxa" w:w="120"/>
              <w:bottom w:type="dxa" w:w="60"/>
              <w:right w:type="dxa" w:w="120"/>
            </w:tcMar>
          </w:tcPr>
          <w:p>
            <w:pPr>
              <w:jc w:val="left"/>
            </w:pPr>
            <w:r>
              <w:rPr>
                <w:rFonts w:ascii="Arial" w:cs="Arial" w:eastAsia="Arial" w:hAnsi="Arial"/>
                <w:b/>
                <w:bCs/>
                <w:color w:val="FFFFFF"/>
                <w:sz w:val="19"/>
                <w:szCs w:val="19"/>
              </w:rPr>
              <w:t xml:space="preserve">Value</w:t>
            </w:r>
          </w:p>
        </w:tc>
      </w:tr>
      <w:tr>
        <w:tc>
          <w:tcPr>
            <w:tcW w:type="dxa" w:w="400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Optimizer</w:t>
            </w:r>
          </w:p>
        </w:tc>
        <w:tc>
          <w:tcPr>
            <w:tcW w:type="dxa" w:w="536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AdamW (weight decay 1e-4)</w:t>
            </w:r>
          </w:p>
        </w:tc>
      </w:tr>
      <w:tr>
        <w:tc>
          <w:tcPr>
            <w:tcW w:type="dxa" w:w="400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Learning Rate</w:t>
            </w:r>
          </w:p>
        </w:tc>
        <w:tc>
          <w:tcPr>
            <w:tcW w:type="dxa" w:w="536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1e-3 with CosineAnnealingLR</w:t>
            </w:r>
          </w:p>
        </w:tc>
      </w:tr>
      <w:tr>
        <w:tc>
          <w:tcPr>
            <w:tcW w:type="dxa" w:w="400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Batch Size</w:t>
            </w:r>
          </w:p>
        </w:tc>
        <w:tc>
          <w:tcPr>
            <w:tcW w:type="dxa" w:w="536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64</w:t>
            </w:r>
          </w:p>
        </w:tc>
      </w:tr>
      <w:tr>
        <w:tc>
          <w:tcPr>
            <w:tcW w:type="dxa" w:w="400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Max Epochs</w:t>
            </w:r>
          </w:p>
        </w:tc>
        <w:tc>
          <w:tcPr>
            <w:tcW w:type="dxa" w:w="536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150</w:t>
            </w:r>
          </w:p>
        </w:tc>
      </w:tr>
      <w:tr>
        <w:tc>
          <w:tcPr>
            <w:tcW w:type="dxa" w:w="400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Early Stopping Patience</w:t>
            </w:r>
          </w:p>
        </w:tc>
        <w:tc>
          <w:tcPr>
            <w:tcW w:type="dxa" w:w="536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15 epochs</w:t>
            </w:r>
          </w:p>
        </w:tc>
      </w:tr>
      <w:tr>
        <w:tc>
          <w:tcPr>
            <w:tcW w:type="dxa" w:w="400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Dropout (Layer 1 / Layer 2)</w:t>
            </w:r>
          </w:p>
        </w:tc>
        <w:tc>
          <w:tcPr>
            <w:tcW w:type="dxa" w:w="536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0.4 / 0.3</w:t>
            </w:r>
          </w:p>
        </w:tc>
      </w:tr>
      <w:tr>
        <w:tc>
          <w:tcPr>
            <w:tcW w:type="dxa" w:w="400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Gradient Clip Norm</w:t>
            </w:r>
          </w:p>
        </w:tc>
        <w:tc>
          <w:tcPr>
            <w:tcW w:type="dxa" w:w="536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1.0</w:t>
            </w:r>
          </w:p>
        </w:tc>
      </w:tr>
      <w:tr>
        <w:tc>
          <w:tcPr>
            <w:tcW w:type="dxa" w:w="400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EMG Channels</w:t>
            </w:r>
          </w:p>
        </w:tc>
        <w:tc>
          <w:tcPr>
            <w:tcW w:type="dxa" w:w="536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8</w:t>
            </w:r>
          </w:p>
        </w:tc>
      </w:tr>
      <w:tr>
        <w:tc>
          <w:tcPr>
            <w:tcW w:type="dxa" w:w="400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Sequence Length (frames)</w:t>
            </w:r>
          </w:p>
        </w:tc>
        <w:tc>
          <w:tcPr>
            <w:tcW w:type="dxa" w:w="536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2,000</w:t>
            </w:r>
          </w:p>
        </w:tc>
      </w:tr>
      <w:tr>
        <w:tc>
          <w:tcPr>
            <w:tcW w:type="dxa" w:w="400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Augmentation: Noise σ</w:t>
            </w:r>
          </w:p>
        </w:tc>
        <w:tc>
          <w:tcPr>
            <w:tcW w:type="dxa" w:w="536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0.02</w:t>
            </w:r>
          </w:p>
        </w:tc>
      </w:tr>
      <w:tr>
        <w:tc>
          <w:tcPr>
            <w:tcW w:type="dxa" w:w="400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Augmentation: Time Shift</w:t>
            </w:r>
          </w:p>
        </w:tc>
        <w:tc>
          <w:tcPr>
            <w:tcW w:type="dxa" w:w="536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±50 frames</w:t>
            </w:r>
          </w:p>
        </w:tc>
      </w:tr>
      <w:tr>
        <w:tc>
          <w:tcPr>
            <w:tcW w:type="dxa" w:w="400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Augmentation: Ch. Dropout</w:t>
            </w:r>
          </w:p>
        </w:tc>
        <w:tc>
          <w:tcPr>
            <w:tcW w:type="dxa" w:w="5360"/>
            <w:tcBorders>
              <w:top w:val="single" w:color="B8CCE4" w:sz="1"/>
              <w:left w:val="single" w:color="B8CCE4" w:sz="1"/>
              <w:bottom w:val="single" w:color="B8CCE4" w:sz="1"/>
              <w:right w:val="single" w:color="B8CCE4" w:sz="1"/>
            </w:tcBorders>
            <w:shd w:fill="F5F9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1A1A2E"/>
                <w:sz w:val="20"/>
                <w:szCs w:val="20"/>
              </w:rPr>
              <w:t xml:space="preserve">p = 0.1</w:t>
            </w:r>
          </w:p>
        </w:tc>
      </w:tr>
    </w:tbl>
    <w:p>
      <w:pPr>
        <w:spacing w:after="0" w:before="160"/>
      </w:pPr>
      <w:r>
        <w:t xml:space="preserve"/>
      </w:r>
    </w:p>
    <w:p>
      <w:pPr>
        <w:pBdr>
          <w:bottom w:val="single" w:color="DDDDDD" w:sz="8" w:space="1"/>
        </w:pBdr>
        <w:spacing w:after="60" w:before="60"/>
      </w:pPr>
    </w:p>
    <w:p>
      <w:pPr>
        <w:pStyle w:val="Heading2"/>
        <w:spacing w:after="80" w:before="280"/>
      </w:pPr>
      <w:r>
        <w:rPr>
          <w:rFonts w:ascii="Arial" w:cs="Arial" w:eastAsia="Arial" w:hAnsi="Arial"/>
          <w:b/>
          <w:bCs/>
          <w:color w:val="1F3864"/>
          <w:sz w:val="26"/>
          <w:szCs w:val="26"/>
        </w:rPr>
        <w:t xml:space="preserve">4. Theoretical Analysis</w:t>
      </w:r>
    </w:p>
    <w:p>
      <w:pPr>
        <w:pStyle w:val="Heading3"/>
        <w:spacing w:after="60" w:before="200"/>
      </w:pPr>
      <w:r>
        <w:rPr>
          <w:rFonts w:ascii="Arial" w:cs="Arial" w:eastAsia="Arial" w:hAnsi="Arial"/>
          <w:b/>
          <w:bCs/>
          <w:i/>
          <w:iCs/>
          <w:color w:val="2C5F8A"/>
          <w:sz w:val="23"/>
          <w:szCs w:val="23"/>
        </w:rPr>
        <w:t xml:space="preserve">4.1  Temporal Information Preservation</w:t>
      </w:r>
    </w:p>
    <w:p>
      <w:pPr>
        <w:spacing w:after="120" w:before="0" w:line="276"/>
        <w:ind w:firstLine="480"/>
        <w:jc w:val="both"/>
      </w:pPr>
      <w:r>
        <w:rPr>
          <w:rFonts w:ascii="Times New Roman" w:cs="Times New Roman" w:eastAsia="Times New Roman" w:hAnsi="Times New Roman"/>
          <w:sz w:val="22"/>
          <w:szCs w:val="22"/>
        </w:rPr>
        <w:t xml:space="preserve">A central design choice of NSA is the preservation of temporal structure throughout the encoder. Many prior EMG classifiers compute a single feature vector by averaging across all time steps — effectively discarding phase, onset, and trajectory information. To quantify the value of temporal preservation, note that for a sequence of T frames the temporal average collapses the representation to rank 1 along the time axis, while a convolutional encoder maintains up to rank min(T, d) where d is the channel depth.</w:t>
      </w:r>
    </w:p>
    <w:p>
      <w:pPr>
        <w:spacing w:after="120" w:before="0" w:line="276"/>
        <w:ind w:firstLine="480"/>
        <w:jc w:val="both"/>
      </w:pPr>
      <w:r>
        <w:rPr>
          <w:rFonts w:ascii="Times New Roman" w:cs="Times New Roman" w:eastAsia="Times New Roman" w:hAnsi="Times New Roman"/>
          <w:sz w:val="22"/>
          <w:szCs w:val="22"/>
        </w:rPr>
        <w:t xml:space="preserve">Under a linear discriminant analysis (LDA) perspective, the Mahalanobis distance between two class means is bounded by the rank of the within-class covariance matrix. Temporal averaging reduces this rank, degrading discriminability. The hierarchical downsampling in NSA (effective compression ratio T/8 ≈ 250) preserves temporal rank at each scale while building up abstract features.</w:t>
      </w:r>
    </w:p>
    <w:p>
      <w:pPr>
        <w:pStyle w:val="Heading3"/>
        <w:spacing w:after="60" w:before="200"/>
      </w:pPr>
      <w:r>
        <w:rPr>
          <w:rFonts w:ascii="Arial" w:cs="Arial" w:eastAsia="Arial" w:hAnsi="Arial"/>
          <w:b/>
          <w:bCs/>
          <w:i/>
          <w:iCs/>
          <w:color w:val="2C5F8A"/>
          <w:sz w:val="23"/>
          <w:szCs w:val="23"/>
        </w:rPr>
        <w:t xml:space="preserve">4.2  Alignment via GELU Geometry</w:t>
      </w:r>
    </w:p>
    <w:p>
      <w:pPr>
        <w:spacing w:after="120" w:before="0" w:line="276"/>
        <w:ind w:firstLine="480"/>
        <w:jc w:val="both"/>
      </w:pPr>
      <w:r>
        <w:rPr>
          <w:rFonts w:ascii="Times New Roman" w:cs="Times New Roman" w:eastAsia="Times New Roman" w:hAnsi="Times New Roman"/>
          <w:sz w:val="22"/>
          <w:szCs w:val="22"/>
        </w:rPr>
        <w:t xml:space="preserve">The choice of GELU activations in the semantic projection is theoretically motivated by the activation statistics of transformer language models. GELU is defined as:</w:t>
      </w:r>
    </w:p>
    <w:p>
      <w:pPr>
        <w:spacing w:after="100" w:before="100"/>
        <w:jc w:val="center"/>
      </w:pPr>
      <w:r>
        <w:rPr>
          <w:rFonts w:ascii="Courier New" w:cs="Courier New" w:eastAsia="Courier New" w:hAnsi="Courier New"/>
          <w:color w:val="1A1A2E"/>
          <w:sz w:val="20"/>
          <w:szCs w:val="20"/>
        </w:rPr>
        <w:t xml:space="preserve">GELU(x) = x · Φ(x)     where Φ is the standard normal CDF</w:t>
      </w:r>
    </w:p>
    <w:p>
      <w:pPr>
        <w:spacing w:after="120" w:before="0" w:line="276"/>
        <w:ind w:firstLine="480"/>
        <w:jc w:val="both"/>
      </w:pPr>
      <w:r>
        <w:rPr>
          <w:rFonts w:ascii="Times New Roman" w:cs="Times New Roman" w:eastAsia="Times New Roman" w:hAnsi="Times New Roman"/>
          <w:sz w:val="22"/>
          <w:szCs w:val="22"/>
        </w:rPr>
        <w:t xml:space="preserve">Transformer models trained with GELU exhibit log-normal activation distributions in their hidden states. By using GELU in P_φ, we encourage z to inhabit a distribution family compatible with LM hidden states. This is a necessary (though not sufficient) condition for the alignment posited by SSAH.</w:t>
      </w:r>
    </w:p>
    <w:p>
      <w:pPr>
        <w:pStyle w:val="Heading3"/>
        <w:spacing w:after="60" w:before="200"/>
      </w:pPr>
      <w:r>
        <w:rPr>
          <w:rFonts w:ascii="Arial" w:cs="Arial" w:eastAsia="Arial" w:hAnsi="Arial"/>
          <w:b/>
          <w:bCs/>
          <w:i/>
          <w:iCs/>
          <w:color w:val="2C5F8A"/>
          <w:sz w:val="23"/>
          <w:szCs w:val="23"/>
        </w:rPr>
        <w:t xml:space="preserve">4.3  Regularization and Generalization Bound</w:t>
      </w:r>
    </w:p>
    <w:p>
      <w:pPr>
        <w:spacing w:after="120" w:before="0" w:line="276"/>
        <w:ind w:firstLine="480"/>
        <w:jc w:val="both"/>
      </w:pPr>
      <w:r>
        <w:rPr>
          <w:rFonts w:ascii="Times New Roman" w:cs="Times New Roman" w:eastAsia="Times New Roman" w:hAnsi="Times New Roman"/>
          <w:sz w:val="22"/>
          <w:szCs w:val="22"/>
        </w:rPr>
        <w:t xml:space="preserve">The combination of batch normalization, dropout (rates 0.4 and 0.3), and AdamW weight decay constitutes a multi-level regularization strategy. By Rademacher complexity analysis, the generalization gap for a network with Frobenius-norm-bounded weight matrices W_1, W_2, W_3 is bounded as:</w:t>
      </w:r>
    </w:p>
    <w:p>
      <w:pPr>
        <w:spacing w:after="100" w:before="100"/>
        <w:jc w:val="center"/>
      </w:pPr>
      <w:r>
        <w:rPr>
          <w:rFonts w:ascii="Courier New" w:cs="Courier New" w:eastAsia="Courier New" w:hAnsi="Courier New"/>
          <w:color w:val="1A1A2E"/>
          <w:sz w:val="20"/>
          <w:szCs w:val="20"/>
        </w:rPr>
        <w:t xml:space="preserve">Δgen ≤ O⌛√( Π ||W_i||_F² / (m) )</w:t>
      </w:r>
    </w:p>
    <w:p>
      <w:pPr>
        <w:spacing w:after="120" w:before="0" w:line="276"/>
        <w:ind w:firstLine="480"/>
        <w:jc w:val="both"/>
      </w:pPr>
      <w:r>
        <w:rPr>
          <w:rFonts w:ascii="Times New Roman" w:cs="Times New Roman" w:eastAsia="Times New Roman" w:hAnsi="Times New Roman"/>
          <w:sz w:val="22"/>
          <w:szCs w:val="22"/>
        </w:rPr>
        <w:t xml:space="preserve">where m is the training set size. Weight decay directly bounds ||W_i||_F, while dropout further reduces the effective parameter count at each forward pass. This multi-level regularization is essential given the relatively small dataset sizes typical of EMG corpora (≤1,000 utterances per class).</w:t>
      </w:r>
    </w:p>
    <w:p>
      <w:pPr>
        <w:pBdr>
          <w:bottom w:val="single" w:color="DDDDDD" w:sz="8" w:space="1"/>
        </w:pBdr>
        <w:spacing w:after="60" w:before="60"/>
      </w:pPr>
    </w:p>
    <w:p>
      <w:pPr>
        <w:pStyle w:val="Heading2"/>
        <w:spacing w:after="80" w:before="280"/>
      </w:pPr>
      <w:r>
        <w:rPr>
          <w:rFonts w:ascii="Arial" w:cs="Arial" w:eastAsia="Arial" w:hAnsi="Arial"/>
          <w:b/>
          <w:bCs/>
          <w:color w:val="1F3864"/>
          <w:sz w:val="26"/>
          <w:szCs w:val="26"/>
        </w:rPr>
        <w:t xml:space="preserve">5. Experimental Setup and Results</w:t>
      </w:r>
    </w:p>
    <w:p>
      <w:pPr>
        <w:pStyle w:val="Heading3"/>
        <w:spacing w:after="60" w:before="200"/>
      </w:pPr>
      <w:r>
        <w:rPr>
          <w:rFonts w:ascii="Arial" w:cs="Arial" w:eastAsia="Arial" w:hAnsi="Arial"/>
          <w:b/>
          <w:bCs/>
          <w:i/>
          <w:iCs/>
          <w:color w:val="2C5F8A"/>
          <w:sz w:val="23"/>
          <w:szCs w:val="23"/>
        </w:rPr>
        <w:t xml:space="preserve">5.1  Evaluation Protocol</w:t>
      </w:r>
    </w:p>
    <w:p>
      <w:pPr>
        <w:spacing w:after="120" w:before="0" w:line="276"/>
        <w:ind w:firstLine="480"/>
        <w:jc w:val="both"/>
      </w:pPr>
      <w:r>
        <w:rPr>
          <w:rFonts w:ascii="Times New Roman" w:cs="Times New Roman" w:eastAsia="Times New Roman" w:hAnsi="Times New Roman"/>
          <w:sz w:val="22"/>
          <w:szCs w:val="22"/>
        </w:rPr>
        <w:t xml:space="preserve">All experiments use a stratified 80/20 train-test split with random seed 42. The stratified split ensures that each sentence class is represented proportionally in both partitions. Classification performance is reported as top-1 accuracy on the held-out test set, supplemented by per-class precision, recall, and F1 via a full classification report. A confusion matrix is retained to identify systematic confusability between classes.</w:t>
      </w:r>
    </w:p>
    <w:p>
      <w:pPr>
        <w:pStyle w:val="Heading3"/>
        <w:spacing w:after="60" w:before="200"/>
      </w:pPr>
      <w:r>
        <w:rPr>
          <w:rFonts w:ascii="Arial" w:cs="Arial" w:eastAsia="Arial" w:hAnsi="Arial"/>
          <w:b/>
          <w:bCs/>
          <w:i/>
          <w:iCs/>
          <w:color w:val="2C5F8A"/>
          <w:sz w:val="23"/>
          <w:szCs w:val="23"/>
        </w:rPr>
        <w:t xml:space="preserve">5.2  Baseline Comparison</w:t>
      </w:r>
    </w:p>
    <w:p>
      <w:pPr>
        <w:spacing w:after="120" w:before="0" w:line="276"/>
        <w:ind w:firstLine="480"/>
        <w:jc w:val="both"/>
      </w:pPr>
      <w:r>
        <w:rPr>
          <w:rFonts w:ascii="Times New Roman" w:cs="Times New Roman" w:eastAsia="Times New Roman" w:hAnsi="Times New Roman"/>
          <w:sz w:val="22"/>
          <w:szCs w:val="22"/>
        </w:rPr>
        <w:t xml:space="preserve">The primary baseline is the temporal-averaging classifier described in the original codebase: raw EMG is averaged across all T frames to produce an 8-dimensional feature vector, which is then passed to a linear layer. This baseline has been widely used in prior EMG classification literature (Shenoy et al., 2008; Schultz &amp; Wand, 2010) and represents the standard against which the temporal-preservation contribution of NSA should be measured.</w:t>
      </w:r>
    </w:p>
    <w:p>
      <w:pPr>
        <w:pStyle w:val="Heading3"/>
        <w:spacing w:after="60" w:before="200"/>
      </w:pPr>
      <w:r>
        <w:rPr>
          <w:rFonts w:ascii="Arial" w:cs="Arial" w:eastAsia="Arial" w:hAnsi="Arial"/>
          <w:b/>
          <w:bCs/>
          <w:i/>
          <w:iCs/>
          <w:color w:val="2C5F8A"/>
          <w:sz w:val="23"/>
          <w:szCs w:val="23"/>
        </w:rPr>
        <w:t xml:space="preserve">5.3  Expected Findings</w:t>
      </w:r>
    </w:p>
    <w:p>
      <w:pPr>
        <w:spacing w:after="120" w:before="0" w:line="276"/>
        <w:ind w:firstLine="480"/>
        <w:jc w:val="both"/>
      </w:pPr>
      <w:r>
        <w:rPr>
          <w:rFonts w:ascii="Times New Roman" w:cs="Times New Roman" w:eastAsia="Times New Roman" w:hAnsi="Times New Roman"/>
          <w:sz w:val="22"/>
          <w:szCs w:val="22"/>
        </w:rPr>
        <w:t xml:space="preserve">Based on the theoretical analysis in Section 4, we predict that NSA will demonstrate two principal advantages over the temporal-averaging baseline: (1) superior discriminability for classes whose distinction lies in temporal trajectory rather than mean activation amplitude (e.g., phonologically similar words), and (2) better generalization to novel utterances, as the regularization strategy reduces sensitivity to recording-session variability.</w:t>
      </w:r>
    </w:p>
    <w:p>
      <w:pPr>
        <w:spacing w:after="120" w:before="0" w:line="276"/>
        <w:ind w:firstLine="480"/>
        <w:jc w:val="both"/>
      </w:pPr>
      <w:r>
        <w:rPr>
          <w:rFonts w:ascii="Times New Roman" w:cs="Times New Roman" w:eastAsia="Times New Roman" w:hAnsi="Times New Roman"/>
          <w:sz w:val="22"/>
          <w:szCs w:val="22"/>
        </w:rPr>
        <w:t xml:space="preserve">The semantic latent space z should exhibit cluster structure that reflects the phonological and semantic similarity structure of the target vocabulary — a testable prediction via t-SNE or UMAP visualization of the test-set embeddings.</w:t>
      </w:r>
    </w:p>
    <w:p>
      <w:pPr>
        <w:pStyle w:val="Heading3"/>
        <w:spacing w:after="60" w:before="200"/>
      </w:pPr>
      <w:r>
        <w:rPr>
          <w:rFonts w:ascii="Arial" w:cs="Arial" w:eastAsia="Arial" w:hAnsi="Arial"/>
          <w:b/>
          <w:bCs/>
          <w:i/>
          <w:iCs/>
          <w:color w:val="2C5F8A"/>
          <w:sz w:val="23"/>
          <w:szCs w:val="23"/>
        </w:rPr>
        <w:t xml:space="preserve">5.4  Inference Simulation</w:t>
      </w:r>
    </w:p>
    <w:p>
      <w:pPr>
        <w:spacing w:after="120" w:before="0" w:line="276"/>
        <w:ind w:firstLine="480"/>
        <w:jc w:val="both"/>
      </w:pPr>
      <w:r>
        <w:rPr>
          <w:rFonts w:ascii="Times New Roman" w:cs="Times New Roman" w:eastAsia="Times New Roman" w:hAnsi="Times New Roman"/>
          <w:sz w:val="22"/>
          <w:szCs w:val="22"/>
        </w:rPr>
        <w:t xml:space="preserve">The implementation includes a step-by-step inference trace for qualitative inspection. For each test sample, the system outputs: (1) the raw EMG input dimensions, (2) the shape of the EMG latent vector from the encoder (512-d), (3) a confirmation of semantic projection, and (4) the predicted versus ground-truth class label. This transparency supports debugging and interpretability analysis during model development.</w:t>
      </w:r>
    </w:p>
    <w:p>
      <w:pPr>
        <w:pBdr>
          <w:bottom w:val="single" w:color="DDDDDD" w:sz="8" w:space="1"/>
        </w:pBdr>
        <w:spacing w:after="60" w:before="60"/>
      </w:pPr>
    </w:p>
    <w:p>
      <w:pPr>
        <w:pStyle w:val="Heading2"/>
        <w:spacing w:after="80" w:before="280"/>
      </w:pPr>
      <w:r>
        <w:rPr>
          <w:rFonts w:ascii="Arial" w:cs="Arial" w:eastAsia="Arial" w:hAnsi="Arial"/>
          <w:b/>
          <w:bCs/>
          <w:color w:val="1F3864"/>
          <w:sz w:val="26"/>
          <w:szCs w:val="26"/>
        </w:rPr>
        <w:t xml:space="preserve">6. Discussion</w:t>
      </w:r>
    </w:p>
    <w:p>
      <w:pPr>
        <w:pStyle w:val="Heading3"/>
        <w:spacing w:after="60" w:before="200"/>
      </w:pPr>
      <w:r>
        <w:rPr>
          <w:rFonts w:ascii="Arial" w:cs="Arial" w:eastAsia="Arial" w:hAnsi="Arial"/>
          <w:b/>
          <w:bCs/>
          <w:i/>
          <w:iCs/>
          <w:color w:val="2C5F8A"/>
          <w:sz w:val="23"/>
          <w:szCs w:val="23"/>
        </w:rPr>
        <w:t xml:space="preserve">6.1  Limitations</w:t>
      </w:r>
    </w:p>
    <w:p>
      <w:pPr>
        <w:spacing w:after="120" w:before="0" w:line="276"/>
        <w:ind w:firstLine="480"/>
        <w:jc w:val="both"/>
      </w:pPr>
      <w:r>
        <w:rPr>
          <w:rFonts w:ascii="Times New Roman" w:cs="Times New Roman" w:eastAsia="Times New Roman" w:hAnsi="Times New Roman"/>
          <w:sz w:val="22"/>
          <w:szCs w:val="22"/>
        </w:rPr>
        <w:t xml:space="preserve">Several important limitations bound the current instantiation of NSA. First, the decoder is a closed-vocabulary classifier: it cannot generalize to unseen words or sentences. Extending NSA to open-vocabulary decoding would require replacing the linear decoder with a sequence generation objective (e.g., connectionist temporal classification, attention-based seq2seq, or autoregressive language model decoding conditioned on z).</w:t>
      </w:r>
    </w:p>
    <w:p>
      <w:pPr>
        <w:spacing w:after="120" w:before="0" w:line="276"/>
        <w:ind w:firstLine="480"/>
        <w:jc w:val="both"/>
      </w:pPr>
      <w:r>
        <w:rPr>
          <w:rFonts w:ascii="Times New Roman" w:cs="Times New Roman" w:eastAsia="Times New Roman" w:hAnsi="Times New Roman"/>
          <w:sz w:val="22"/>
          <w:szCs w:val="22"/>
        </w:rPr>
        <w:t xml:space="preserve">Second, the current framework is evaluated within a single speaker and recording session. Cross-speaker generalization of the alignment mapping is an open and clinically critical question: motor programs for the same phoneme vary substantially across speakers in their myotopographic expression.</w:t>
      </w:r>
    </w:p>
    <w:p>
      <w:pPr>
        <w:spacing w:after="120" w:before="0" w:line="276"/>
        <w:ind w:firstLine="480"/>
        <w:jc w:val="both"/>
      </w:pPr>
      <w:r>
        <w:rPr>
          <w:rFonts w:ascii="Times New Roman" w:cs="Times New Roman" w:eastAsia="Times New Roman" w:hAnsi="Times New Roman"/>
          <w:sz w:val="22"/>
          <w:szCs w:val="22"/>
        </w:rPr>
        <w:t xml:space="preserve">Third, the SSAH as formally stated claims alignment with LM semantic geometry, but the training objective (cross-entropy over sentence classes) is only a weak surrogate for this claim. A stronger test would involve computing the correlation between pairwise distances in Z_{EMG} and Z_{LM} across a large vocabulary.</w:t>
      </w:r>
    </w:p>
    <w:p>
      <w:pPr>
        <w:pStyle w:val="Heading3"/>
        <w:spacing w:after="60" w:before="200"/>
      </w:pPr>
      <w:r>
        <w:rPr>
          <w:rFonts w:ascii="Arial" w:cs="Arial" w:eastAsia="Arial" w:hAnsi="Arial"/>
          <w:b/>
          <w:bCs/>
          <w:i/>
          <w:iCs/>
          <w:color w:val="2C5F8A"/>
          <w:sz w:val="23"/>
          <w:szCs w:val="23"/>
        </w:rPr>
        <w:t xml:space="preserve">6.2  Future Work</w:t>
      </w:r>
    </w:p>
    <w:p>
      <w:pPr>
        <w:spacing w:after="120" w:before="0" w:line="276"/>
        <w:ind w:firstLine="480"/>
        <w:jc w:val="both"/>
      </w:pPr>
      <w:r>
        <w:rPr>
          <w:rFonts w:ascii="Times New Roman" w:cs="Times New Roman" w:eastAsia="Times New Roman" w:hAnsi="Times New Roman"/>
          <w:sz w:val="22"/>
          <w:szCs w:val="22"/>
        </w:rPr>
        <w:t xml:space="preserve">The most immediate extension is a contrastive alignment objective: pairs of EMG recordings of the same word (potentially from different sessions) are pulled together in latent space, while recordings of different words are pushed apart, directly optimizing the SSAH metric d(Z_{EMG}, Z_{LM}). This is analogous to SimCLR (Chen et al., 2020) or CLIP (Radford et al., 2021), adapted to the EMG-text modality pair.</w:t>
      </w:r>
    </w:p>
    <w:p>
      <w:pPr>
        <w:spacing w:after="120" w:before="0" w:line="276"/>
        <w:ind w:firstLine="480"/>
        <w:jc w:val="both"/>
      </w:pPr>
      <w:r>
        <w:rPr>
          <w:rFonts w:ascii="Times New Roman" w:cs="Times New Roman" w:eastAsia="Times New Roman" w:hAnsi="Times New Roman"/>
          <w:sz w:val="22"/>
          <w:szCs w:val="22"/>
        </w:rPr>
        <w:t xml:space="preserve">A second priority is temporal modeling at longer scales. The current encoder has an effective receptive field of ~600 ms, sufficient for single words but inadequate for phrase-level or sentence-level dependencies. Replacing the final convolutional blocks with a lightweight Transformer or Mamba-based (Gu &amp; Dao, 2023) state-space model would extend temporal context while preserving the computational efficiency of the convolutional front-end.</w:t>
      </w:r>
    </w:p>
    <w:p>
      <w:pPr>
        <w:spacing w:after="120" w:before="0" w:line="276"/>
        <w:ind w:firstLine="480"/>
        <w:jc w:val="both"/>
      </w:pPr>
      <w:r>
        <w:rPr>
          <w:rFonts w:ascii="Times New Roman" w:cs="Times New Roman" w:eastAsia="Times New Roman" w:hAnsi="Times New Roman"/>
          <w:sz w:val="22"/>
          <w:szCs w:val="22"/>
        </w:rPr>
        <w:t xml:space="preserve">Finally, integrating pre-trained language model embeddings as soft targets for the projection network — rather than one-hot class labels — would provide a richer supervision signal that explicitly encodes the semantic similarity structure the SSAH hypothesizes.</w:t>
      </w:r>
    </w:p>
    <w:p>
      <w:pPr>
        <w:pBdr>
          <w:bottom w:val="single" w:color="DDDDDD" w:sz="8" w:space="1"/>
        </w:pBdr>
        <w:spacing w:after="60" w:before="60"/>
      </w:pPr>
    </w:p>
    <w:p>
      <w:pPr>
        <w:pStyle w:val="Heading2"/>
        <w:spacing w:after="80" w:before="280"/>
      </w:pPr>
      <w:r>
        <w:rPr>
          <w:rFonts w:ascii="Arial" w:cs="Arial" w:eastAsia="Arial" w:hAnsi="Arial"/>
          <w:b/>
          <w:bCs/>
          <w:color w:val="1F3864"/>
          <w:sz w:val="26"/>
          <w:szCs w:val="26"/>
        </w:rPr>
        <w:t xml:space="preserve">7. Conclusion</w:t>
      </w:r>
    </w:p>
    <w:p>
      <w:pPr>
        <w:spacing w:after="120" w:before="0" w:line="276"/>
        <w:ind w:firstLine="480"/>
        <w:jc w:val="both"/>
      </w:pPr>
      <w:r>
        <w:rPr>
          <w:rFonts w:ascii="Times New Roman" w:cs="Times New Roman" w:eastAsia="Times New Roman" w:hAnsi="Times New Roman"/>
          <w:sz w:val="22"/>
          <w:szCs w:val="22"/>
        </w:rPr>
        <w:t xml:space="preserve">We have presented Neural Semantic Alignment, a framework that reconceptualizes silent speech recognition as a problem of aligning myoelectric signal representations with the semantic latent geometry of artificial neural networks. The Subvocalization-Semantic Alignment Hypothesis provides a theoretical grounding for this approach, supported by convergent evidence from motor neuroscience and computational linguistics.</w:t>
      </w:r>
    </w:p>
    <w:p>
      <w:pPr>
        <w:spacing w:after="120" w:before="0" w:line="276"/>
        <w:ind w:firstLine="480"/>
        <w:jc w:val="both"/>
      </w:pPr>
      <w:r>
        <w:rPr>
          <w:rFonts w:ascii="Times New Roman" w:cs="Times New Roman" w:eastAsia="Times New Roman" w:hAnsi="Times New Roman"/>
          <w:sz w:val="22"/>
          <w:szCs w:val="22"/>
        </w:rPr>
        <w:t xml:space="preserve">The NSA architecture instantiates this hypothesis through a hierarchical 1D-CNN temporal encoder that preserves the full temporal dynamics of the EMG signal, a GELU-activated semantic projection network that maps encoder outputs into a 256-dimensional semantic manifold, and a linear decoder that enforces linear separability in the semantic space. The complete system is trainable end-to-end with standard GPU hardware and is compatible with both the compact Kaggle dataset and the large-scale Gaddy &amp; Klein Zenodo corpus.</w:t>
      </w:r>
    </w:p>
    <w:p>
      <w:pPr>
        <w:spacing w:after="120" w:before="0" w:line="276"/>
        <w:ind w:firstLine="480"/>
        <w:jc w:val="both"/>
      </w:pPr>
      <w:r>
        <w:rPr>
          <w:rFonts w:ascii="Times New Roman" w:cs="Times New Roman" w:eastAsia="Times New Roman" w:hAnsi="Times New Roman"/>
          <w:sz w:val="22"/>
          <w:szCs w:val="22"/>
        </w:rPr>
        <w:t xml:space="preserve">The principal contribution of this work is conceptual: the reframing of silent speech recognition as latent space alignment opens a research path toward systems that could, in principle, interface directly with the internal representations of large language models — transforming thought, via muscle, into text.</w:t>
      </w:r>
    </w:p>
    <w:p>
      <w:pPr>
        <w:pBdr>
          <w:bottom w:val="single" w:color="DDDDDD" w:sz="8" w:space="1"/>
        </w:pBdr>
        <w:spacing w:after="60" w:before="60"/>
      </w:pPr>
    </w:p>
    <w:p>
      <w:pPr>
        <w:pStyle w:val="Heading2"/>
        <w:spacing w:after="80" w:before="280"/>
      </w:pPr>
      <w:r>
        <w:rPr>
          <w:rFonts w:ascii="Arial" w:cs="Arial" w:eastAsia="Arial" w:hAnsi="Arial"/>
          <w:b/>
          <w:bCs/>
          <w:color w:val="1F3864"/>
          <w:sz w:val="26"/>
          <w:szCs w:val="26"/>
        </w:rPr>
        <w:t xml:space="preserve">References</w:t>
      </w:r>
    </w:p>
    <w:p>
      <w:pPr>
        <w:spacing w:after="80" w:before="0"/>
        <w:jc w:val="both"/>
      </w:pPr>
      <w:r>
        <w:rPr>
          <w:rFonts w:ascii="Times New Roman" w:cs="Times New Roman" w:eastAsia="Times New Roman" w:hAnsi="Times New Roman"/>
          <w:color w:val="444444"/>
          <w:sz w:val="18"/>
          <w:szCs w:val="18"/>
        </w:rPr>
        <w:t xml:space="preserve">[1] Gaddy, D. &amp; Klein, D. (2020). Digital Voicing of Silent Speech. Proceedings of EMNLP 2020.</w:t>
      </w:r>
    </w:p>
    <w:p>
      <w:pPr>
        <w:spacing w:after="80" w:before="0"/>
        <w:jc w:val="both"/>
      </w:pPr>
      <w:r>
        <w:rPr>
          <w:rFonts w:ascii="Times New Roman" w:cs="Times New Roman" w:eastAsia="Times New Roman" w:hAnsi="Times New Roman"/>
          <w:color w:val="444444"/>
          <w:sz w:val="18"/>
          <w:szCs w:val="18"/>
        </w:rPr>
        <w:t xml:space="preserve">[2] Gaddy, D. &amp; Klein, D. (2021). An Improved Model for Voicing Silent Speech. Proceedings of ACL 2021.</w:t>
      </w:r>
    </w:p>
    <w:p>
      <w:pPr>
        <w:spacing w:after="80" w:before="0"/>
        <w:jc w:val="both"/>
      </w:pPr>
      <w:r>
        <w:rPr>
          <w:rFonts w:ascii="Times New Roman" w:cs="Times New Roman" w:eastAsia="Times New Roman" w:hAnsi="Times New Roman"/>
          <w:color w:val="444444"/>
          <w:sz w:val="18"/>
          <w:szCs w:val="18"/>
        </w:rPr>
        <w:t xml:space="preserve">[3] Nepal, R. (2023). Silent Speech Raw EMG Dataset. Kaggle. https://www.kaggle.com/datasets/rabinnepal/silent-speech-raw-emg-dataset</w:t>
      </w:r>
    </w:p>
    <w:p>
      <w:pPr>
        <w:spacing w:after="80" w:before="0"/>
        <w:jc w:val="both"/>
      </w:pPr>
      <w:r>
        <w:rPr>
          <w:rFonts w:ascii="Times New Roman" w:cs="Times New Roman" w:eastAsia="Times New Roman" w:hAnsi="Times New Roman"/>
          <w:color w:val="444444"/>
          <w:sz w:val="18"/>
          <w:szCs w:val="18"/>
        </w:rPr>
        <w:t xml:space="preserve">[4] Mikolov, T., et al. (2013). Efficient Estimation of Word Representations in Vector Space. ICLR 2013.</w:t>
      </w:r>
    </w:p>
    <w:p>
      <w:pPr>
        <w:spacing w:after="80" w:before="0"/>
        <w:jc w:val="both"/>
      </w:pPr>
      <w:r>
        <w:rPr>
          <w:rFonts w:ascii="Times New Roman" w:cs="Times New Roman" w:eastAsia="Times New Roman" w:hAnsi="Times New Roman"/>
          <w:color w:val="444444"/>
          <w:sz w:val="18"/>
          <w:szCs w:val="18"/>
        </w:rPr>
        <w:t xml:space="preserve">[5] Loshchilov, I. &amp; Hutter, F. (2019). Decoupled Weight Decay Regularization. ICLR 2019.</w:t>
      </w:r>
    </w:p>
    <w:p>
      <w:pPr>
        <w:spacing w:after="80" w:before="0"/>
        <w:jc w:val="both"/>
      </w:pPr>
      <w:r>
        <w:rPr>
          <w:rFonts w:ascii="Times New Roman" w:cs="Times New Roman" w:eastAsia="Times New Roman" w:hAnsi="Times New Roman"/>
          <w:color w:val="444444"/>
          <w:sz w:val="18"/>
          <w:szCs w:val="18"/>
        </w:rPr>
        <w:t xml:space="preserve">[6] Hendrycks, D. &amp; Gimpel, K. (2016). Gaussian Error Linear Units (GELUs). arXiv:1606.08415.</w:t>
      </w:r>
    </w:p>
    <w:p>
      <w:pPr>
        <w:spacing w:after="80" w:before="0"/>
        <w:jc w:val="both"/>
      </w:pPr>
      <w:r>
        <w:rPr>
          <w:rFonts w:ascii="Times New Roman" w:cs="Times New Roman" w:eastAsia="Times New Roman" w:hAnsi="Times New Roman"/>
          <w:color w:val="444444"/>
          <w:sz w:val="18"/>
          <w:szCs w:val="18"/>
        </w:rPr>
        <w:t xml:space="preserve">[7] Chen, T., et al. (2020). A Simple Framework for Contrastive Learning of Visual Representations. ICML 2020.</w:t>
      </w:r>
    </w:p>
    <w:p>
      <w:pPr>
        <w:spacing w:after="80" w:before="0"/>
        <w:jc w:val="both"/>
      </w:pPr>
      <w:r>
        <w:rPr>
          <w:rFonts w:ascii="Times New Roman" w:cs="Times New Roman" w:eastAsia="Times New Roman" w:hAnsi="Times New Roman"/>
          <w:color w:val="444444"/>
          <w:sz w:val="18"/>
          <w:szCs w:val="18"/>
        </w:rPr>
        <w:t xml:space="preserve">[8] Radford, A., et al. (2021). Learning Transferable Visual Models From Natural Language Supervision. ICML 2021.</w:t>
      </w:r>
    </w:p>
    <w:p>
      <w:pPr>
        <w:spacing w:after="80" w:before="0"/>
        <w:jc w:val="both"/>
      </w:pPr>
      <w:r>
        <w:rPr>
          <w:rFonts w:ascii="Times New Roman" w:cs="Times New Roman" w:eastAsia="Times New Roman" w:hAnsi="Times New Roman"/>
          <w:color w:val="444444"/>
          <w:sz w:val="18"/>
          <w:szCs w:val="18"/>
        </w:rPr>
        <w:t xml:space="preserve">[9] Schultz, T. &amp; Wand, M. (2010). Modeling Coarticulation in EMG-based Continuous Speech Recognition. Speech Communication.</w:t>
      </w:r>
    </w:p>
    <w:p>
      <w:pPr>
        <w:spacing w:after="80" w:before="0"/>
        <w:jc w:val="both"/>
      </w:pPr>
      <w:r>
        <w:rPr>
          <w:rFonts w:ascii="Times New Roman" w:cs="Times New Roman" w:eastAsia="Times New Roman" w:hAnsi="Times New Roman"/>
          <w:color w:val="444444"/>
          <w:sz w:val="18"/>
          <w:szCs w:val="18"/>
        </w:rPr>
        <w:t xml:space="preserve">[10] Tian, X. &amp; Poeppel, D. (2010). Mental imagery of speech and movement implicates the dynamics of internal forward models. Frontiers in Psychology.</w:t>
      </w:r>
    </w:p>
    <w:p>
      <w:pPr>
        <w:spacing w:after="80" w:before="0"/>
        <w:jc w:val="both"/>
      </w:pPr>
      <w:r>
        <w:rPr>
          <w:rFonts w:ascii="Times New Roman" w:cs="Times New Roman" w:eastAsia="Times New Roman" w:hAnsi="Times New Roman"/>
          <w:color w:val="444444"/>
          <w:sz w:val="18"/>
          <w:szCs w:val="18"/>
        </w:rPr>
        <w:t xml:space="preserve">[11] Gu, A. &amp; Dao, T. (2023). Mamba: Linear-Time Sequence Modeling with Selective State Spaces. arXiv:2312.00752.</w:t>
      </w:r>
    </w:p>
    <w:p>
      <w:pPr>
        <w:spacing w:after="80" w:before="0"/>
        <w:jc w:val="both"/>
      </w:pPr>
      <w:r>
        <w:rPr>
          <w:rFonts w:ascii="Times New Roman" w:cs="Times New Roman" w:eastAsia="Times New Roman" w:hAnsi="Times New Roman"/>
          <w:color w:val="444444"/>
          <w:sz w:val="18"/>
          <w:szCs w:val="18"/>
        </w:rPr>
        <w:t xml:space="preserve">[12] Shenoy, P., et al. (2008). Towards Reliable, High-Throughput BCIs via Optimal Design. IEEE TNSRE.</w:t>
      </w:r>
    </w:p>
    <w:p>
      <w:pPr>
        <w:spacing w:after="80" w:before="0"/>
        <w:jc w:val="both"/>
      </w:pPr>
      <w:r>
        <w:rPr>
          <w:rFonts w:ascii="Times New Roman" w:cs="Times New Roman" w:eastAsia="Times New Roman" w:hAnsi="Times New Roman"/>
          <w:color w:val="444444"/>
          <w:sz w:val="18"/>
          <w:szCs w:val="18"/>
        </w:rPr>
        <w:t xml:space="preserve">[13] Wolpert, D. M., et al. (1998). Multiple Paired Forward and Inverse Models for Motor Control. Neural Networks.</w:t>
      </w:r>
    </w:p>
    <w:p>
      <w:pPr>
        <w:spacing w:after="0" w:before="20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Neural Semantic Alignment for EMG Silent Speech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C5F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2026-05-21T04:18:35.153Z</dcterms:created>
  <dcterms:modified xsi:type="dcterms:W3CDTF">2026-05-21T04:18:35.153Z</dcterms:modified>
</cp:coreProperties>
</file>

<file path=docProps/custom.xml><?xml version="1.0" encoding="utf-8"?>
<Properties xmlns="http://schemas.openxmlformats.org/officeDocument/2006/custom-properties" xmlns:vt="http://schemas.openxmlformats.org/officeDocument/2006/docPropsVTypes"/>
</file>