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D9F96" w14:textId="77777777" w:rsidR="001B5838" w:rsidRDefault="001B5838"/>
    <w:p w14:paraId="789FEB45" w14:textId="77777777" w:rsidR="001B5838" w:rsidRDefault="001B5838"/>
    <w:p w14:paraId="2A11B599" w14:textId="77777777" w:rsidR="001B5838" w:rsidRDefault="001B5838"/>
    <w:p w14:paraId="0470680E" w14:textId="77777777" w:rsidR="001B5838" w:rsidRDefault="001B5838"/>
    <w:p w14:paraId="6754A0C6" w14:textId="77777777" w:rsidR="001B5838" w:rsidRDefault="00000000">
      <w:pPr>
        <w:jc w:val="center"/>
      </w:pPr>
      <w:r>
        <w:rPr>
          <w:noProof/>
        </w:rPr>
        <w:drawing>
          <wp:inline distT="0" distB="0" distL="0" distR="0" wp14:anchorId="3472C4D2" wp14:editId="31F5866E">
            <wp:extent cx="2520000" cy="10151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b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01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8B4E8" w14:textId="77777777" w:rsidR="001B5838" w:rsidRDefault="001B5838">
      <w:pPr>
        <w:spacing w:after="360"/>
      </w:pPr>
    </w:p>
    <w:p w14:paraId="4730EE1D" w14:textId="77777777" w:rsidR="001B5838" w:rsidRDefault="00000000">
      <w:pPr>
        <w:jc w:val="center"/>
      </w:pPr>
      <w:r>
        <w:rPr>
          <w:b/>
          <w:color w:val="012D70"/>
          <w:sz w:val="60"/>
        </w:rPr>
        <w:t>MANUAL DE COBRANZA</w:t>
      </w:r>
    </w:p>
    <w:p w14:paraId="3B2BB377" w14:textId="77777777" w:rsidR="001B5838" w:rsidRDefault="00000000">
      <w:pPr>
        <w:jc w:val="center"/>
      </w:pPr>
      <w:r>
        <w:rPr>
          <w:color w:val="0141A2"/>
          <w:sz w:val="32"/>
        </w:rPr>
        <w:t>AutoFácil Business Suite</w:t>
      </w:r>
    </w:p>
    <w:p w14:paraId="1690A969" w14:textId="77777777" w:rsidR="001B5838" w:rsidRDefault="001B5838">
      <w:pPr>
        <w:spacing w:after="600"/>
      </w:pPr>
    </w:p>
    <w:p w14:paraId="46BFD811" w14:textId="77777777" w:rsidR="001B5838" w:rsidRDefault="00000000">
      <w:pPr>
        <w:jc w:val="center"/>
      </w:pPr>
      <w:r>
        <w:rPr>
          <w:color w:val="475569"/>
          <w:sz w:val="24"/>
        </w:rPr>
        <w:t>De la mora temprana al castigo:</w:t>
      </w:r>
    </w:p>
    <w:p w14:paraId="48D0E37C" w14:textId="77777777" w:rsidR="001B5838" w:rsidRDefault="00000000">
      <w:pPr>
        <w:jc w:val="center"/>
      </w:pPr>
      <w:r>
        <w:rPr>
          <w:color w:val="475569"/>
          <w:sz w:val="24"/>
        </w:rPr>
        <w:t>recuperar la cartera cumpliendo la ley, con cada gestión trazada.</w:t>
      </w:r>
    </w:p>
    <w:p w14:paraId="10B3E7B0" w14:textId="77777777" w:rsidR="001B5838" w:rsidRDefault="001B5838"/>
    <w:p w14:paraId="60CC0408" w14:textId="77777777" w:rsidR="001B5838" w:rsidRDefault="001B5838"/>
    <w:p w14:paraId="0DC3907C" w14:textId="77777777" w:rsidR="001B5838" w:rsidRDefault="001B5838"/>
    <w:p w14:paraId="228A95E7" w14:textId="77777777" w:rsidR="001B5838" w:rsidRDefault="001B5838"/>
    <w:p w14:paraId="39A582E1" w14:textId="77777777" w:rsidR="001B5838" w:rsidRDefault="001B5838"/>
    <w:p w14:paraId="1D9AC1EA" w14:textId="77777777" w:rsidR="001B5838" w:rsidRDefault="001B5838"/>
    <w:p w14:paraId="550DEF1F" w14:textId="77777777" w:rsidR="001B5838" w:rsidRDefault="00000000">
      <w:pPr>
        <w:jc w:val="center"/>
      </w:pPr>
      <w:r>
        <w:rPr>
          <w:color w:val="9AA0A6"/>
        </w:rPr>
        <w:t>Versión 1.0 · Agosto 2026</w:t>
      </w:r>
    </w:p>
    <w:p w14:paraId="129B4C2F" w14:textId="77777777" w:rsidR="001B5838" w:rsidRDefault="00000000">
      <w:pPr>
        <w:jc w:val="center"/>
      </w:pPr>
      <w:r>
        <w:rPr>
          <w:color w:val="9AA0A6"/>
          <w:sz w:val="20"/>
        </w:rPr>
        <w:t>Documento interno — AutoFácil Crédito Automotriz</w:t>
      </w:r>
    </w:p>
    <w:p w14:paraId="6AC66B55" w14:textId="77777777" w:rsidR="001B5838" w:rsidRDefault="00000000">
      <w:r>
        <w:br w:type="page"/>
      </w:r>
    </w:p>
    <w:p w14:paraId="591087ED" w14:textId="77777777" w:rsidR="001B5838" w:rsidRDefault="00000000">
      <w:pPr>
        <w:pStyle w:val="Ttulo1"/>
      </w:pPr>
      <w:bookmarkStart w:id="0" w:name="_Toc237896424"/>
      <w:r>
        <w:lastRenderedPageBreak/>
        <w:t>Control de versiones</w:t>
      </w:r>
      <w:bookmarkEnd w:id="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1814"/>
        <w:gridCol w:w="2268"/>
        <w:gridCol w:w="4025"/>
      </w:tblGrid>
      <w:tr w:rsidR="001B5838" w14:paraId="696F4159" w14:textId="77777777">
        <w:trPr>
          <w:jc w:val="center"/>
        </w:trPr>
        <w:tc>
          <w:tcPr>
            <w:tcW w:w="1247" w:type="dxa"/>
            <w:shd w:val="clear" w:color="auto" w:fill="012D70"/>
          </w:tcPr>
          <w:p w14:paraId="6A3B663D" w14:textId="77777777" w:rsidR="001B5838" w:rsidRDefault="00000000"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w="1814" w:type="dxa"/>
            <w:shd w:val="clear" w:color="auto" w:fill="012D70"/>
          </w:tcPr>
          <w:p w14:paraId="03CE1585" w14:textId="77777777" w:rsidR="001B5838" w:rsidRDefault="00000000"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w="2268" w:type="dxa"/>
            <w:shd w:val="clear" w:color="auto" w:fill="012D70"/>
          </w:tcPr>
          <w:p w14:paraId="141C3D40" w14:textId="77777777" w:rsidR="001B5838" w:rsidRDefault="00000000"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w="4025" w:type="dxa"/>
            <w:shd w:val="clear" w:color="auto" w:fill="012D70"/>
          </w:tcPr>
          <w:p w14:paraId="1A6680FE" w14:textId="77777777" w:rsidR="001B5838" w:rsidRDefault="00000000">
            <w:r>
              <w:rPr>
                <w:b/>
                <w:color w:val="FFFFFF"/>
                <w:sz w:val="19"/>
              </w:rPr>
              <w:t>Cambios</w:t>
            </w:r>
          </w:p>
        </w:tc>
      </w:tr>
      <w:tr w:rsidR="001B5838" w14:paraId="5D1CBAA3" w14:textId="77777777">
        <w:trPr>
          <w:jc w:val="center"/>
        </w:trPr>
        <w:tc>
          <w:tcPr>
            <w:tcW w:w="1247" w:type="dxa"/>
          </w:tcPr>
          <w:p w14:paraId="6C2AF28F" w14:textId="77777777" w:rsidR="001B5838" w:rsidRDefault="00000000">
            <w:r>
              <w:rPr>
                <w:sz w:val="19"/>
              </w:rPr>
              <w:t>1.0</w:t>
            </w:r>
          </w:p>
        </w:tc>
        <w:tc>
          <w:tcPr>
            <w:tcW w:w="1814" w:type="dxa"/>
          </w:tcPr>
          <w:p w14:paraId="46A8421F" w14:textId="77777777" w:rsidR="001B5838" w:rsidRDefault="00000000">
            <w:r>
              <w:rPr>
                <w:sz w:val="19"/>
              </w:rPr>
              <w:t>Agosto 2026</w:t>
            </w:r>
          </w:p>
        </w:tc>
        <w:tc>
          <w:tcPr>
            <w:tcW w:w="2268" w:type="dxa"/>
          </w:tcPr>
          <w:p w14:paraId="3FFD87F0" w14:textId="77777777" w:rsidR="001B5838" w:rsidRDefault="00000000">
            <w:r>
              <w:rPr>
                <w:sz w:val="19"/>
              </w:rPr>
              <w:t>Business Suite</w:t>
            </w:r>
          </w:p>
        </w:tc>
        <w:tc>
          <w:tcPr>
            <w:tcW w:w="4025" w:type="dxa"/>
          </w:tcPr>
          <w:p w14:paraId="7C54D282" w14:textId="77777777" w:rsidR="001B5838" w:rsidRDefault="00000000">
            <w:r>
              <w:rPr>
                <w:sz w:val="19"/>
              </w:rPr>
              <w:t>Emisión inicial del tomo Cobranza</w:t>
            </w:r>
          </w:p>
        </w:tc>
      </w:tr>
    </w:tbl>
    <w:p w14:paraId="3230F155" w14:textId="77777777" w:rsidR="001B5838" w:rsidRDefault="001B5838">
      <w:pPr>
        <w:spacing w:after="40"/>
      </w:pPr>
    </w:p>
    <w:p w14:paraId="1AA715DC" w14:textId="77777777" w:rsidR="001B5838" w:rsidRDefault="00000000">
      <w:pPr>
        <w:pStyle w:val="Ttulo2"/>
      </w:pPr>
      <w:bookmarkStart w:id="1" w:name="_Toc237896425"/>
      <w:r>
        <w:t>Cómo usar este manual</w:t>
      </w:r>
      <w:bookmarkEnd w:id="1"/>
    </w:p>
    <w:p w14:paraId="16FE5372" w14:textId="77777777" w:rsidR="001B5838" w:rsidRDefault="00000000">
      <w:r>
        <w:t>Cada capítulo: para qué existe el proceso, quién lo hace, prerequisitos, paso a paso y los recuadros ⚠ OJO / 🔒 Regla del sistema / 🧾 Caso real / 📸 CAPTURA (pendientes en esta versión). Las rutas se escriben "Módulo → Card".</w:t>
      </w:r>
    </w:p>
    <w:p w14:paraId="35D3EA92" w14:textId="77777777" w:rsidR="001B5838" w:rsidRDefault="00000000">
      <w:r>
        <w:br w:type="page"/>
      </w:r>
    </w:p>
    <w:p w14:paraId="1DDAB8AF" w14:textId="77777777" w:rsidR="001B5838" w:rsidRDefault="00000000">
      <w:pPr>
        <w:pStyle w:val="Ttulo1"/>
      </w:pPr>
      <w:bookmarkStart w:id="2" w:name="_Toc237896426"/>
      <w:r>
        <w:lastRenderedPageBreak/>
        <w:t>Índice</w:t>
      </w:r>
      <w:bookmarkEnd w:id="2"/>
    </w:p>
    <w:p w14:paraId="76742D0C" w14:textId="2DDCC6C6" w:rsidR="00BB6FF3" w:rsidRDefault="00000000">
      <w:pPr>
        <w:pStyle w:val="TDC1"/>
        <w:tabs>
          <w:tab w:val="right" w:leader="dot" w:pos="939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7896424" w:history="1">
        <w:r w:rsidR="00BB6FF3" w:rsidRPr="00811D17">
          <w:rPr>
            <w:rStyle w:val="Hipervnculo"/>
            <w:noProof/>
          </w:rPr>
          <w:t>Control de versiones</w:t>
        </w:r>
        <w:r w:rsidR="00BB6FF3">
          <w:rPr>
            <w:noProof/>
            <w:webHidden/>
          </w:rPr>
          <w:tab/>
        </w:r>
        <w:r w:rsidR="00BB6FF3">
          <w:rPr>
            <w:noProof/>
            <w:webHidden/>
          </w:rPr>
          <w:fldChar w:fldCharType="begin"/>
        </w:r>
        <w:r w:rsidR="00BB6FF3">
          <w:rPr>
            <w:noProof/>
            <w:webHidden/>
          </w:rPr>
          <w:instrText xml:space="preserve"> PAGEREF _Toc237896424 \h </w:instrText>
        </w:r>
        <w:r w:rsidR="00BB6FF3">
          <w:rPr>
            <w:noProof/>
            <w:webHidden/>
          </w:rPr>
        </w:r>
        <w:r w:rsidR="00BB6FF3">
          <w:rPr>
            <w:noProof/>
            <w:webHidden/>
          </w:rPr>
          <w:fldChar w:fldCharType="separate"/>
        </w:r>
        <w:r w:rsidR="00BB6FF3">
          <w:rPr>
            <w:noProof/>
            <w:webHidden/>
          </w:rPr>
          <w:t>2</w:t>
        </w:r>
        <w:r w:rsidR="00BB6FF3">
          <w:rPr>
            <w:noProof/>
            <w:webHidden/>
          </w:rPr>
          <w:fldChar w:fldCharType="end"/>
        </w:r>
      </w:hyperlink>
    </w:p>
    <w:p w14:paraId="61F10E55" w14:textId="01F4945B" w:rsidR="00BB6FF3" w:rsidRDefault="00BB6FF3">
      <w:pPr>
        <w:pStyle w:val="TDC2"/>
        <w:tabs>
          <w:tab w:val="right" w:leader="dot" w:pos="9396"/>
        </w:tabs>
        <w:rPr>
          <w:noProof/>
        </w:rPr>
      </w:pPr>
      <w:hyperlink w:anchor="_Toc237896425" w:history="1">
        <w:r w:rsidRPr="00811D17">
          <w:rPr>
            <w:rStyle w:val="Hipervnculo"/>
            <w:noProof/>
          </w:rPr>
          <w:t>Cómo usar este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7BFBF26" w14:textId="64D0D3C6" w:rsidR="00BB6FF3" w:rsidRDefault="00BB6FF3">
      <w:pPr>
        <w:pStyle w:val="TDC1"/>
        <w:tabs>
          <w:tab w:val="right" w:leader="dot" w:pos="9396"/>
        </w:tabs>
        <w:rPr>
          <w:noProof/>
        </w:rPr>
      </w:pPr>
      <w:hyperlink w:anchor="_Toc237896426" w:history="1">
        <w:r w:rsidRPr="00811D17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21500B4" w14:textId="0F6F95AF" w:rsidR="00BB6FF3" w:rsidRDefault="00BB6FF3">
      <w:pPr>
        <w:pStyle w:val="TDC1"/>
        <w:tabs>
          <w:tab w:val="right" w:leader="dot" w:pos="9396"/>
        </w:tabs>
        <w:rPr>
          <w:noProof/>
        </w:rPr>
      </w:pPr>
      <w:hyperlink w:anchor="_Toc237896427" w:history="1">
        <w:r w:rsidRPr="00811D17">
          <w:rPr>
            <w:rStyle w:val="Hipervnculo"/>
            <w:noProof/>
          </w:rPr>
          <w:t>1. El marco: estados, motores y ley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C8C272" w14:textId="692923F6" w:rsidR="00BB6FF3" w:rsidRDefault="00BB6FF3">
      <w:pPr>
        <w:pStyle w:val="TDC2"/>
        <w:tabs>
          <w:tab w:val="right" w:leader="dot" w:pos="9396"/>
        </w:tabs>
        <w:rPr>
          <w:noProof/>
        </w:rPr>
      </w:pPr>
      <w:hyperlink w:anchor="_Toc237896428" w:history="1">
        <w:r w:rsidRPr="00811D17">
          <w:rPr>
            <w:rStyle w:val="Hipervnculo"/>
            <w:noProof/>
          </w:rPr>
          <w:t>1.1 Los motores únicos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D86D14" w14:textId="6FD57AD9" w:rsidR="00BB6FF3" w:rsidRDefault="00BB6FF3">
      <w:pPr>
        <w:pStyle w:val="TDC2"/>
        <w:tabs>
          <w:tab w:val="right" w:leader="dot" w:pos="9396"/>
        </w:tabs>
        <w:rPr>
          <w:noProof/>
        </w:rPr>
      </w:pPr>
      <w:hyperlink w:anchor="_Toc237896429" w:history="1">
        <w:r w:rsidRPr="00811D17">
          <w:rPr>
            <w:rStyle w:val="Hipervnculo"/>
            <w:noProof/>
          </w:rPr>
          <w:t>1.2 La ley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DD4DB1" w14:textId="28B72C0A" w:rsidR="00BB6FF3" w:rsidRDefault="00BB6FF3">
      <w:pPr>
        <w:pStyle w:val="TDC1"/>
        <w:tabs>
          <w:tab w:val="right" w:leader="dot" w:pos="9396"/>
        </w:tabs>
        <w:rPr>
          <w:noProof/>
        </w:rPr>
      </w:pPr>
      <w:hyperlink w:anchor="_Toc237896430" w:history="1">
        <w:r w:rsidRPr="00811D17">
          <w:rPr>
            <w:rStyle w:val="Hipervnculo"/>
            <w:noProof/>
          </w:rPr>
          <w:t>2. Mora temprana: los motores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FA4656" w14:textId="166EA4ED" w:rsidR="00BB6FF3" w:rsidRDefault="00BB6FF3">
      <w:pPr>
        <w:pStyle w:val="TDC1"/>
        <w:tabs>
          <w:tab w:val="right" w:leader="dot" w:pos="9396"/>
        </w:tabs>
        <w:rPr>
          <w:noProof/>
        </w:rPr>
      </w:pPr>
      <w:hyperlink w:anchor="_Toc237896431" w:history="1">
        <w:r w:rsidRPr="00811D17">
          <w:rPr>
            <w:rStyle w:val="Hipervnculo"/>
            <w:noProof/>
          </w:rPr>
          <w:t>3. Cobranza pre-judicial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690C36" w14:textId="4EC5F56A" w:rsidR="00BB6FF3" w:rsidRDefault="00BB6FF3">
      <w:pPr>
        <w:pStyle w:val="TDC1"/>
        <w:tabs>
          <w:tab w:val="right" w:leader="dot" w:pos="9396"/>
        </w:tabs>
        <w:rPr>
          <w:noProof/>
        </w:rPr>
      </w:pPr>
      <w:hyperlink w:anchor="_Toc237896432" w:history="1">
        <w:r w:rsidRPr="00811D17">
          <w:rPr>
            <w:rStyle w:val="Hipervnculo"/>
            <w:noProof/>
          </w:rPr>
          <w:t>4. Cobranza judicial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064B95" w14:textId="03E603D1" w:rsidR="00BB6FF3" w:rsidRDefault="00BB6FF3">
      <w:pPr>
        <w:pStyle w:val="TDC1"/>
        <w:tabs>
          <w:tab w:val="right" w:leader="dot" w:pos="9396"/>
        </w:tabs>
        <w:rPr>
          <w:noProof/>
        </w:rPr>
      </w:pPr>
      <w:hyperlink w:anchor="_Toc237896433" w:history="1">
        <w:r w:rsidRPr="00811D17">
          <w:rPr>
            <w:rStyle w:val="Hipervnculo"/>
            <w:noProof/>
          </w:rPr>
          <w:t>5. Castigo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8E7669" w14:textId="1FD56B06" w:rsidR="00BB6FF3" w:rsidRDefault="00BB6FF3">
      <w:pPr>
        <w:pStyle w:val="TDC1"/>
        <w:tabs>
          <w:tab w:val="right" w:leader="dot" w:pos="9396"/>
        </w:tabs>
        <w:rPr>
          <w:noProof/>
        </w:rPr>
      </w:pPr>
      <w:hyperlink w:anchor="_Toc237896434" w:history="1">
        <w:r w:rsidRPr="00811D17">
          <w:rPr>
            <w:rStyle w:val="Hipervnculo"/>
            <w:noProof/>
          </w:rPr>
          <w:t>6. Cómo paga el cliente: caja, portal y prepago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616778" w14:textId="58E944DB" w:rsidR="00BB6FF3" w:rsidRDefault="00BB6FF3">
      <w:pPr>
        <w:pStyle w:val="TDC1"/>
        <w:tabs>
          <w:tab w:val="right" w:leader="dot" w:pos="9396"/>
        </w:tabs>
        <w:rPr>
          <w:noProof/>
        </w:rPr>
      </w:pPr>
      <w:hyperlink w:anchor="_Toc237896435" w:history="1">
        <w:r w:rsidRPr="00811D17">
          <w:rPr>
            <w:rStyle w:val="Hipervnculo"/>
            <w:noProof/>
          </w:rPr>
          <w:t>7. Lo que tu gestión mueve: provisiones y score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CB51D1" w14:textId="056112DE" w:rsidR="00BB6FF3" w:rsidRDefault="00BB6FF3">
      <w:pPr>
        <w:pStyle w:val="TDC1"/>
        <w:tabs>
          <w:tab w:val="right" w:leader="dot" w:pos="9396"/>
        </w:tabs>
        <w:rPr>
          <w:noProof/>
        </w:rPr>
      </w:pPr>
      <w:hyperlink w:anchor="_Toc237896436" w:history="1">
        <w:r w:rsidRPr="00811D17">
          <w:rPr>
            <w:rStyle w:val="Hipervnculo"/>
            <w:noProof/>
          </w:rPr>
          <w:t>Anexo A. Síntomas frecuentes y su causa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0E95FE" w14:textId="1EE219A1" w:rsidR="00BB6FF3" w:rsidRDefault="00BB6FF3">
      <w:pPr>
        <w:pStyle w:val="TDC1"/>
        <w:tabs>
          <w:tab w:val="right" w:leader="dot" w:pos="9396"/>
        </w:tabs>
        <w:rPr>
          <w:noProof/>
        </w:rPr>
      </w:pPr>
      <w:hyperlink w:anchor="_Toc237896437" w:history="1">
        <w:r w:rsidRPr="00811D17">
          <w:rPr>
            <w:rStyle w:val="Hipervnculo"/>
            <w:noProof/>
          </w:rPr>
          <w:t>Anexo B.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49D0DA8" w14:textId="416C2293" w:rsidR="00BB6FF3" w:rsidRDefault="00BB6FF3">
      <w:pPr>
        <w:pStyle w:val="TDC1"/>
        <w:tabs>
          <w:tab w:val="right" w:leader="dot" w:pos="9396"/>
        </w:tabs>
        <w:rPr>
          <w:noProof/>
        </w:rPr>
      </w:pPr>
      <w:hyperlink w:anchor="_Toc237896438" w:history="1">
        <w:r w:rsidRPr="00811D17">
          <w:rPr>
            <w:rStyle w:val="Hipervnculo"/>
            <w:noProof/>
          </w:rPr>
          <w:t>Anexo C. Capturas pendientes de esta 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EBDCA6" w14:textId="4821E4CF" w:rsidR="001B5838" w:rsidRDefault="00000000">
      <w:r>
        <w:fldChar w:fldCharType="end"/>
      </w:r>
    </w:p>
    <w:p w14:paraId="757CCCA7" w14:textId="77777777" w:rsidR="001B5838" w:rsidRDefault="00000000">
      <w:r>
        <w:br w:type="page"/>
      </w:r>
    </w:p>
    <w:p w14:paraId="4FC428B7" w14:textId="77777777" w:rsidR="001B5838" w:rsidRDefault="00000000">
      <w:pPr>
        <w:pStyle w:val="Ttulo1"/>
      </w:pPr>
      <w:bookmarkStart w:id="3" w:name="_Toc237896427"/>
      <w:r>
        <w:lastRenderedPageBreak/>
        <w:t>1. El marco: estados, motores y ley</w:t>
      </w:r>
      <w:bookmarkEnd w:id="3"/>
    </w:p>
    <w:p w14:paraId="335ACCAC" w14:textId="77777777" w:rsidR="001B5838" w:rsidRDefault="00000000">
      <w:r>
        <w:t>La cobranza trabaja sobre la cartera propia, con dos coordenadas por crédito: la ETAPA (OTORGADO — no cambia por la mora) y el ESTADO DE CARTERA, que describe el pago:</w:t>
      </w:r>
    </w:p>
    <w:p w14:paraId="3D6AB44E" w14:textId="77777777" w:rsidR="001B5838" w:rsidRDefault="00000000">
      <w:pPr>
        <w:spacing w:before="120"/>
        <w:jc w:val="center"/>
      </w:pPr>
      <w:r>
        <w:rPr>
          <w:b/>
          <w:color w:val="0141A2"/>
          <w:sz w:val="21"/>
        </w:rPr>
        <w:t>VIGENTE → EN MORA → VENCIDO → JUDICIAL → CASTIGADO · AL DÍA</w:t>
      </w:r>
    </w:p>
    <w:p w14:paraId="4193FBAA" w14:textId="77777777" w:rsidR="001B5838" w:rsidRDefault="00000000">
      <w:r>
        <w:t>Los estados de cartera y sus transiciones son paramétricos (mantenedor Estado Cartera). Confundir etapa con estado de cartera es el error conceptual más común: un crédito EN MORA sigue siendo, en etapa, OTORGADO.</w:t>
      </w:r>
    </w:p>
    <w:p w14:paraId="652A6EBD" w14:textId="77777777" w:rsidR="001B5838" w:rsidRDefault="00000000">
      <w:pPr>
        <w:pStyle w:val="Ttulo2"/>
      </w:pPr>
      <w:bookmarkStart w:id="4" w:name="_Toc237896428"/>
      <w:r>
        <w:t>1.1 Los motores únicos</w:t>
      </w:r>
      <w:bookmarkEnd w:id="4"/>
    </w:p>
    <w:p w14:paraId="27E73B87" w14:textId="77777777" w:rsidR="001B5838" w:rsidRDefault="00000000">
      <w:pPr>
        <w:pStyle w:val="Listaconvietas"/>
      </w:pPr>
      <w:r>
        <w:rPr>
          <w:b/>
        </w:rPr>
        <w:t xml:space="preserve">Interés por mora: </w:t>
      </w:r>
      <w:r>
        <w:t>la tasa de mora queda FIJA al otorgamiento (TMC de ese momento, según el modo configurado). El interés de mora que muestra la caja, el portal del cliente, el certificado y esta área es EL MISMO: sale de un solo motor.</w:t>
      </w:r>
    </w:p>
    <w:p w14:paraId="6CE36EF9" w14:textId="77777777" w:rsidR="001B5838" w:rsidRDefault="00000000">
      <w:pPr>
        <w:pStyle w:val="Listaconvietas"/>
      </w:pPr>
      <w:r>
        <w:rPr>
          <w:b/>
        </w:rPr>
        <w:t xml:space="preserve">Gastos de cobranza: </w:t>
      </w:r>
      <w:r>
        <w:t>corren recién desde el día 21 de atraso, según los tramos de Parámetros de Cobranza.</w:t>
      </w:r>
    </w:p>
    <w:p w14:paraId="6C254ADA" w14:textId="77777777" w:rsidR="001B5838" w:rsidRDefault="00000000">
      <w:pPr>
        <w:pStyle w:val="Listaconvietas"/>
      </w:pPr>
      <w:r>
        <w:rPr>
          <w:b/>
        </w:rPr>
        <w:t xml:space="preserve">El calendario: </w:t>
      </w:r>
      <w:r>
        <w:t>los valores del crédito quedaron congelados al otorgar; el calendario de cuotas es inmutable.</w:t>
      </w:r>
    </w:p>
    <w:p w14:paraId="6DB58BE6" w14:textId="77777777" w:rsidR="001B5838" w:rsidRDefault="00000000">
      <w:pPr>
        <w:pStyle w:val="Ttulo2"/>
      </w:pPr>
      <w:bookmarkStart w:id="5" w:name="_Toc237896429"/>
      <w:r>
        <w:t>1.2 La ley</w:t>
      </w:r>
      <w:bookmarkEnd w:id="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B5838" w14:paraId="5095B44C" w14:textId="77777777">
        <w:trPr>
          <w:jc w:val="center"/>
        </w:trPr>
        <w:tc>
          <w:tcPr>
            <w:tcW w:w="9354" w:type="dxa"/>
            <w:shd w:val="clear" w:color="auto" w:fill="FEE2E2"/>
          </w:tcPr>
          <w:p w14:paraId="68C4D663" w14:textId="77777777" w:rsidR="001B5838" w:rsidRDefault="00000000">
            <w:r>
              <w:rPr>
                <w:b/>
                <w:color w:val="B91C1C"/>
                <w:sz w:val="21"/>
              </w:rPr>
              <w:t>🔒 Regla del sistema</w:t>
            </w:r>
          </w:p>
          <w:p w14:paraId="62617A17" w14:textId="77777777" w:rsidR="001B5838" w:rsidRDefault="00000000">
            <w:pPr>
              <w:spacing w:after="40"/>
            </w:pPr>
            <w:r>
              <w:rPr>
                <w:sz w:val="21"/>
              </w:rPr>
              <w:t>Ley 21.320 y Ley del Consumidor: tope de gestiones por semana (bloqueado por el sistema, no por criterio), horarios permitidos y registro de cada contacto. El sistema traza todas las gestiones en la bitácora CRM — lo que no está en la bitácora no existió.</w:t>
            </w:r>
          </w:p>
        </w:tc>
      </w:tr>
    </w:tbl>
    <w:p w14:paraId="1A32AFB0" w14:textId="77777777" w:rsidR="001B5838" w:rsidRDefault="001B5838">
      <w:pPr>
        <w:spacing w:after="40"/>
      </w:pPr>
    </w:p>
    <w:p w14:paraId="258AB1E1" w14:textId="77777777" w:rsidR="001B5838" w:rsidRDefault="00000000">
      <w:r>
        <w:br w:type="page"/>
      </w:r>
    </w:p>
    <w:p w14:paraId="54D6CE64" w14:textId="77777777" w:rsidR="001B5838" w:rsidRDefault="00000000">
      <w:pPr>
        <w:pStyle w:val="Ttulo1"/>
      </w:pPr>
      <w:bookmarkStart w:id="6" w:name="_Toc237896430"/>
      <w:r>
        <w:lastRenderedPageBreak/>
        <w:t>2. Mora temprana: los motores automáticos</w:t>
      </w:r>
      <w:bookmarkEnd w:id="6"/>
    </w:p>
    <w:p w14:paraId="4FB8C15F" w14:textId="77777777" w:rsidR="001B5838" w:rsidRDefault="00000000">
      <w:r>
        <w:t>En los primeros tramos de atraso el sistema gestiona solo: correo por tramo y secuencia de WhatsApp, cada envío registrado en la bitácora CRM del crédito. El analista entra cuando la automatización no alcanza.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27"/>
      </w:tblGrid>
      <w:tr w:rsidR="001B5838" w14:paraId="3C17D9D3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7DDF3AB1" w14:textId="77777777" w:rsidR="001B5838" w:rsidRDefault="00000000"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w="7427" w:type="dxa"/>
          </w:tcPr>
          <w:p w14:paraId="77DB88B1" w14:textId="77777777" w:rsidR="001B5838" w:rsidRDefault="00000000">
            <w:r>
              <w:rPr>
                <w:sz w:val="20"/>
              </w:rPr>
              <w:t>Cobranza → Automatizaciones · Mantenedores → Parámetros de Cobranza</w:t>
            </w:r>
          </w:p>
        </w:tc>
      </w:tr>
      <w:tr w:rsidR="001B5838" w14:paraId="354C9E33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7A0C404D" w14:textId="77777777" w:rsidR="001B5838" w:rsidRDefault="00000000"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w="7427" w:type="dxa"/>
          </w:tcPr>
          <w:p w14:paraId="430BC335" w14:textId="77777777" w:rsidR="001B5838" w:rsidRDefault="00000000">
            <w:r>
              <w:rPr>
                <w:sz w:val="20"/>
              </w:rPr>
              <w:t>Los motores automáticos (correo y WhatsApp) · el Analista de Cobranza supervisa</w:t>
            </w:r>
          </w:p>
        </w:tc>
      </w:tr>
      <w:tr w:rsidR="001B5838" w14:paraId="4D96DB86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575DCB1D" w14:textId="77777777" w:rsidR="001B5838" w:rsidRDefault="00000000"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w="7427" w:type="dxa"/>
          </w:tcPr>
          <w:p w14:paraId="44460767" w14:textId="77777777" w:rsidR="001B5838" w:rsidRDefault="00000000">
            <w:r>
              <w:rPr>
                <w:sz w:val="20"/>
              </w:rPr>
              <w:t>Configuración en Parámetros de Cobranza</w:t>
            </w:r>
          </w:p>
        </w:tc>
      </w:tr>
      <w:tr w:rsidR="001B5838" w14:paraId="7A43548E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2F708D1B" w14:textId="77777777" w:rsidR="001B5838" w:rsidRDefault="00000000"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w="7427" w:type="dxa"/>
          </w:tcPr>
          <w:p w14:paraId="0BE20E18" w14:textId="77777777" w:rsidR="001B5838" w:rsidRDefault="00000000">
            <w:r>
              <w:rPr>
                <w:sz w:val="20"/>
              </w:rPr>
              <w:t>Automatizaciones activadas · tramos y plantillas configurados</w:t>
            </w:r>
          </w:p>
        </w:tc>
      </w:tr>
    </w:tbl>
    <w:p w14:paraId="040FC161" w14:textId="77777777" w:rsidR="001B5838" w:rsidRDefault="001B5838">
      <w:pPr>
        <w:spacing w:after="40"/>
      </w:pPr>
    </w:p>
    <w:p w14:paraId="6B7A4807" w14:textId="77777777" w:rsidR="001B5838" w:rsidRDefault="00000000">
      <w:pPr>
        <w:pStyle w:val="Listaconvietas"/>
      </w:pPr>
      <w:r>
        <w:rPr>
          <w:b/>
        </w:rPr>
        <w:t xml:space="preserve">Correo por tramo: </w:t>
      </w:r>
      <w:r>
        <w:t>cada tramo de atraso tiene su plantilla y su momento. Se apagan y prenden por parámetro, sin tocar código.</w:t>
      </w:r>
    </w:p>
    <w:p w14:paraId="4D2A31AC" w14:textId="77777777" w:rsidR="001B5838" w:rsidRDefault="00000000">
      <w:pPr>
        <w:pStyle w:val="Listaconvietas"/>
      </w:pPr>
      <w:r>
        <w:rPr>
          <w:b/>
        </w:rPr>
        <w:t xml:space="preserve">WhatsApp: </w:t>
      </w:r>
      <w:r>
        <w:t>secuencia configurada de mensajes; respeta el tope semanal de gestiones.</w:t>
      </w:r>
    </w:p>
    <w:p w14:paraId="66C07A82" w14:textId="77777777" w:rsidR="001B5838" w:rsidRDefault="00000000">
      <w:pPr>
        <w:pStyle w:val="Listaconvietas"/>
      </w:pPr>
      <w:r>
        <w:rPr>
          <w:b/>
        </w:rPr>
        <w:t xml:space="preserve">Trazabilidad: </w:t>
      </w:r>
      <w:r>
        <w:t>todo envío queda en la bitácora CRM del crédito, visible para cualquier analista que tome el caso.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B5838" w14:paraId="713859E8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0128C411" w14:textId="77777777" w:rsidR="001B5838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1 · Cobranza → bitácora CRM de un crédito</w:t>
            </w:r>
          </w:p>
          <w:p w14:paraId="13F676CD" w14:textId="77777777" w:rsidR="001B5838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La línea de tiempo con gestiones automáticas y humanas mezcladas.</w:t>
            </w:r>
          </w:p>
        </w:tc>
      </w:tr>
    </w:tbl>
    <w:p w14:paraId="19DE10E8" w14:textId="77777777" w:rsidR="001B5838" w:rsidRDefault="001B583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B5838" w14:paraId="18685ACB" w14:textId="77777777">
        <w:trPr>
          <w:jc w:val="center"/>
        </w:trPr>
        <w:tc>
          <w:tcPr>
            <w:tcW w:w="9354" w:type="dxa"/>
            <w:shd w:val="clear" w:color="auto" w:fill="FEE2E2"/>
          </w:tcPr>
          <w:p w14:paraId="773B5AA3" w14:textId="77777777" w:rsidR="001B5838" w:rsidRDefault="00000000">
            <w:r>
              <w:rPr>
                <w:b/>
                <w:color w:val="B91C1C"/>
                <w:sz w:val="21"/>
              </w:rPr>
              <w:t>🔒 Regla del sistema</w:t>
            </w:r>
          </w:p>
          <w:p w14:paraId="3B110E8F" w14:textId="77777777" w:rsidR="001B5838" w:rsidRDefault="00000000">
            <w:pPr>
              <w:spacing w:after="40"/>
            </w:pPr>
            <w:r>
              <w:rPr>
                <w:sz w:val="21"/>
              </w:rPr>
              <w:t>El tope semanal de gestiones está bloqueado por sistema: si un contacto más viola el tope, el sistema no lo deja salir. No es optativo.</w:t>
            </w:r>
          </w:p>
        </w:tc>
      </w:tr>
    </w:tbl>
    <w:p w14:paraId="766FE53A" w14:textId="77777777" w:rsidR="001B5838" w:rsidRDefault="001B5838">
      <w:pPr>
        <w:spacing w:after="40"/>
      </w:pPr>
    </w:p>
    <w:p w14:paraId="3DB9C6D9" w14:textId="77777777" w:rsidR="001B5838" w:rsidRDefault="00000000">
      <w:r>
        <w:br w:type="page"/>
      </w:r>
    </w:p>
    <w:p w14:paraId="1B0E5883" w14:textId="77777777" w:rsidR="001B5838" w:rsidRDefault="00000000">
      <w:pPr>
        <w:pStyle w:val="Ttulo1"/>
      </w:pPr>
      <w:bookmarkStart w:id="7" w:name="_Toc237896431"/>
      <w:r>
        <w:lastRenderedPageBreak/>
        <w:t>3. Cobranza pre-judicial</w:t>
      </w:r>
      <w:bookmarkEnd w:id="7"/>
    </w:p>
    <w:p w14:paraId="10665FBA" w14:textId="77777777" w:rsidR="001B5838" w:rsidRDefault="00000000">
      <w:r>
        <w:t>Cuando la mora avanza, la gestión pasa a ser humana: llamadas, visitas y compromisos de pago, todos registrados.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27"/>
      </w:tblGrid>
      <w:tr w:rsidR="001B5838" w14:paraId="1A9F076C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427316A5" w14:textId="77777777" w:rsidR="001B5838" w:rsidRDefault="00000000"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w="7427" w:type="dxa"/>
          </w:tcPr>
          <w:p w14:paraId="54389AFF" w14:textId="77777777" w:rsidR="001B5838" w:rsidRDefault="00000000">
            <w:r>
              <w:rPr>
                <w:sz w:val="20"/>
              </w:rPr>
              <w:t>Cobranza → Pre-judicial</w:t>
            </w:r>
          </w:p>
        </w:tc>
      </w:tr>
      <w:tr w:rsidR="001B5838" w14:paraId="3172455E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61EC8B74" w14:textId="77777777" w:rsidR="001B5838" w:rsidRDefault="00000000"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w="7427" w:type="dxa"/>
          </w:tcPr>
          <w:p w14:paraId="4AAEDD72" w14:textId="77777777" w:rsidR="001B5838" w:rsidRDefault="00000000">
            <w:r>
              <w:rPr>
                <w:sz w:val="20"/>
              </w:rPr>
              <w:t>Analista de Cobranza</w:t>
            </w:r>
          </w:p>
        </w:tc>
      </w:tr>
      <w:tr w:rsidR="001B5838" w14:paraId="3418F05B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07DBF0A8" w14:textId="77777777" w:rsidR="001B5838" w:rsidRDefault="00000000"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w="7427" w:type="dxa"/>
          </w:tcPr>
          <w:p w14:paraId="1BAC17C7" w14:textId="77777777" w:rsidR="001B5838" w:rsidRDefault="00000000">
            <w:r>
              <w:rPr>
                <w:sz w:val="20"/>
              </w:rPr>
              <w:t>Acceso a Cobranza → Pre-judicial</w:t>
            </w:r>
          </w:p>
        </w:tc>
      </w:tr>
      <w:tr w:rsidR="001B5838" w14:paraId="76A3B19F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3BC99C57" w14:textId="77777777" w:rsidR="001B5838" w:rsidRDefault="00000000"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w="7427" w:type="dxa"/>
          </w:tcPr>
          <w:p w14:paraId="407F81CF" w14:textId="77777777" w:rsidR="001B5838" w:rsidRDefault="00000000">
            <w:r>
              <w:rPr>
                <w:sz w:val="20"/>
              </w:rPr>
              <w:t>Crédito en mora fuera del tramo temprano</w:t>
            </w:r>
          </w:p>
        </w:tc>
      </w:tr>
    </w:tbl>
    <w:p w14:paraId="00E20F49" w14:textId="77777777" w:rsidR="001B5838" w:rsidRDefault="001B5838">
      <w:pPr>
        <w:spacing w:after="40"/>
      </w:pPr>
    </w:p>
    <w:p w14:paraId="7B7113FF" w14:textId="77777777" w:rsidR="001B5838" w:rsidRDefault="00000000">
      <w:pPr>
        <w:spacing w:before="160" w:after="40"/>
      </w:pPr>
      <w:r>
        <w:rPr>
          <w:b/>
          <w:color w:val="012D70"/>
        </w:rPr>
        <w:t>Paso 1 — Tomar el caso</w:t>
      </w:r>
    </w:p>
    <w:p w14:paraId="3C190B7C" w14:textId="77777777" w:rsidR="001B5838" w:rsidRDefault="00000000">
      <w:pPr>
        <w:ind w:left="340"/>
      </w:pPr>
      <w:r>
        <w:t>La bandeja muestra la cartera en gestión con su atraso, saldo y última gestión.</w:t>
      </w:r>
    </w:p>
    <w:p w14:paraId="27DA5E01" w14:textId="77777777" w:rsidR="001B5838" w:rsidRDefault="00000000">
      <w:pPr>
        <w:spacing w:before="160" w:after="40"/>
      </w:pPr>
      <w:r>
        <w:rPr>
          <w:b/>
          <w:color w:val="012D70"/>
        </w:rPr>
        <w:t>Paso 2 — Gestionar y registrar</w:t>
      </w:r>
    </w:p>
    <w:p w14:paraId="7F550A8D" w14:textId="77777777" w:rsidR="001B5838" w:rsidRDefault="00000000">
      <w:pPr>
        <w:ind w:left="340"/>
      </w:pPr>
      <w:r>
        <w:t>Cada llamada o contacto queda en la bitácora con su resultado. Los compromisos de pago se registran con fecha y monto.</w:t>
      </w:r>
    </w:p>
    <w:p w14:paraId="7C82BA48" w14:textId="77777777" w:rsidR="001B5838" w:rsidRDefault="00000000">
      <w:pPr>
        <w:spacing w:before="160" w:after="40"/>
      </w:pPr>
      <w:r>
        <w:rPr>
          <w:b/>
          <w:color w:val="012D70"/>
        </w:rPr>
        <w:t>Paso 3 — Seguir el compromiso</w:t>
      </w:r>
    </w:p>
    <w:p w14:paraId="3E314E1F" w14:textId="77777777" w:rsidR="001B5838" w:rsidRDefault="00000000">
      <w:pPr>
        <w:ind w:left="340"/>
      </w:pPr>
      <w:r>
        <w:t>Un compromiso cumplido normaliza; uno incumplido escala la gestión.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B5838" w14:paraId="08C2CCC4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048EDFBF" w14:textId="77777777" w:rsidR="001B5838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2 · Cobranza → Pre-judicial</w:t>
            </w:r>
          </w:p>
          <w:p w14:paraId="782A45C0" w14:textId="77777777" w:rsidR="001B5838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La bandeja de casos con atraso y compromisos visibles.</w:t>
            </w:r>
          </w:p>
        </w:tc>
      </w:tr>
    </w:tbl>
    <w:p w14:paraId="343631FA" w14:textId="77777777" w:rsidR="001B5838" w:rsidRDefault="001B5838">
      <w:pPr>
        <w:spacing w:after="40"/>
      </w:pPr>
    </w:p>
    <w:p w14:paraId="1E281532" w14:textId="77777777" w:rsidR="001B5838" w:rsidRDefault="00000000">
      <w:r>
        <w:t>Herramientas de apoyo: la PWA de Terreno (ruta del día, check-in GPS y fotos) para las visitas, y el Score de Mora (mora histórica por segmento) para priorizar la cartera.</w:t>
      </w:r>
    </w:p>
    <w:p w14:paraId="02C1DCAF" w14:textId="77777777" w:rsidR="001B5838" w:rsidRDefault="00000000">
      <w:r>
        <w:br w:type="page"/>
      </w:r>
    </w:p>
    <w:p w14:paraId="623BDDEB" w14:textId="77777777" w:rsidR="001B5838" w:rsidRDefault="00000000">
      <w:pPr>
        <w:pStyle w:val="Ttulo1"/>
      </w:pPr>
      <w:bookmarkStart w:id="8" w:name="_Toc237896432"/>
      <w:r>
        <w:lastRenderedPageBreak/>
        <w:t>4. Cobranza judicial</w:t>
      </w:r>
      <w:bookmarkEnd w:id="8"/>
    </w:p>
    <w:p w14:paraId="2DBD70FE" w14:textId="77777777" w:rsidR="001B5838" w:rsidRDefault="00000000">
      <w:r>
        <w:t>La demanda con abogado, tribunal y etapa procesal. Los catálogos (abogados, tribunales, etapas) son paramétricos.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27"/>
      </w:tblGrid>
      <w:tr w:rsidR="001B5838" w14:paraId="34EC68BB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57A48AFA" w14:textId="77777777" w:rsidR="001B5838" w:rsidRDefault="00000000"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w="7427" w:type="dxa"/>
          </w:tcPr>
          <w:p w14:paraId="5E747654" w14:textId="77777777" w:rsidR="001B5838" w:rsidRDefault="00000000">
            <w:r>
              <w:rPr>
                <w:sz w:val="20"/>
              </w:rPr>
              <w:t>Cobranza → Judicial</w:t>
            </w:r>
          </w:p>
        </w:tc>
      </w:tr>
      <w:tr w:rsidR="001B5838" w14:paraId="5DF122D3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6C7A9D35" w14:textId="77777777" w:rsidR="001B5838" w:rsidRDefault="00000000"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w="7427" w:type="dxa"/>
          </w:tcPr>
          <w:p w14:paraId="36EDDAD6" w14:textId="77777777" w:rsidR="001B5838" w:rsidRDefault="00000000">
            <w:r>
              <w:rPr>
                <w:sz w:val="20"/>
              </w:rPr>
              <w:t>Analista de Cobranza · abogados externos</w:t>
            </w:r>
          </w:p>
        </w:tc>
      </w:tr>
      <w:tr w:rsidR="001B5838" w14:paraId="4FAC25B4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06D1E5C0" w14:textId="77777777" w:rsidR="001B5838" w:rsidRDefault="00000000"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w="7427" w:type="dxa"/>
          </w:tcPr>
          <w:p w14:paraId="3D67BC36" w14:textId="77777777" w:rsidR="001B5838" w:rsidRDefault="00000000">
            <w:r>
              <w:rPr>
                <w:sz w:val="20"/>
              </w:rPr>
              <w:t>Acceso a Cobranza → Judicial</w:t>
            </w:r>
          </w:p>
        </w:tc>
      </w:tr>
      <w:tr w:rsidR="001B5838" w14:paraId="027D869D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1A2F4C2D" w14:textId="77777777" w:rsidR="001B5838" w:rsidRDefault="00000000"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w="7427" w:type="dxa"/>
          </w:tcPr>
          <w:p w14:paraId="238A0F66" w14:textId="77777777" w:rsidR="001B5838" w:rsidRDefault="00000000">
            <w:r>
              <w:rPr>
                <w:sz w:val="20"/>
              </w:rPr>
              <w:t>Decisión de demandar tomada · antecedentes del crédito completos</w:t>
            </w:r>
          </w:p>
        </w:tc>
      </w:tr>
    </w:tbl>
    <w:p w14:paraId="24A1DE3F" w14:textId="77777777" w:rsidR="001B5838" w:rsidRDefault="001B5838">
      <w:pPr>
        <w:spacing w:after="40"/>
      </w:pPr>
    </w:p>
    <w:p w14:paraId="70D7ECFB" w14:textId="77777777" w:rsidR="001B5838" w:rsidRDefault="00000000">
      <w:pPr>
        <w:spacing w:before="160" w:after="40"/>
      </w:pPr>
      <w:r>
        <w:rPr>
          <w:b/>
          <w:color w:val="012D70"/>
        </w:rPr>
        <w:t>Paso 1 — Abrir la causa</w:t>
      </w:r>
    </w:p>
    <w:p w14:paraId="26AB3EB7" w14:textId="77777777" w:rsidR="001B5838" w:rsidRDefault="00000000">
      <w:pPr>
        <w:ind w:left="340"/>
      </w:pPr>
      <w:r>
        <w:t>Crédito, abogado, tribunal y etapa procesal inicial.</w:t>
      </w:r>
    </w:p>
    <w:p w14:paraId="1291AAC1" w14:textId="77777777" w:rsidR="001B5838" w:rsidRDefault="00000000">
      <w:pPr>
        <w:spacing w:before="160" w:after="40"/>
      </w:pPr>
      <w:r>
        <w:rPr>
          <w:b/>
          <w:color w:val="012D70"/>
        </w:rPr>
        <w:t>Paso 2 — Actualizar etapas</w:t>
      </w:r>
    </w:p>
    <w:p w14:paraId="79507165" w14:textId="77777777" w:rsidR="001B5838" w:rsidRDefault="00000000">
      <w:pPr>
        <w:ind w:left="340"/>
      </w:pPr>
      <w:r>
        <w:t>Cada avance procesal se registra; la historia completa queda en el caso.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B5838" w14:paraId="3C5B1634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1E1B343E" w14:textId="77777777" w:rsidR="001B5838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3 · Cobranza → Judicial</w:t>
            </w:r>
          </w:p>
          <w:p w14:paraId="14AFEE71" w14:textId="77777777" w:rsidR="001B5838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Una causa con su tribunal, abogado y etapa procesal.</w:t>
            </w:r>
          </w:p>
        </w:tc>
      </w:tr>
    </w:tbl>
    <w:p w14:paraId="0D6FA8BA" w14:textId="77777777" w:rsidR="001B5838" w:rsidRDefault="001B5838">
      <w:pPr>
        <w:spacing w:after="40"/>
      </w:pPr>
    </w:p>
    <w:p w14:paraId="0FA8A743" w14:textId="77777777" w:rsidR="001B5838" w:rsidRDefault="00000000">
      <w:r>
        <w:br w:type="page"/>
      </w:r>
    </w:p>
    <w:p w14:paraId="542577F3" w14:textId="77777777" w:rsidR="001B5838" w:rsidRDefault="00000000">
      <w:pPr>
        <w:pStyle w:val="Ttulo1"/>
      </w:pPr>
      <w:bookmarkStart w:id="9" w:name="_Toc237896433"/>
      <w:r>
        <w:lastRenderedPageBreak/>
        <w:t>5. Castigo</w:t>
      </w:r>
      <w:bookmarkEnd w:id="9"/>
    </w:p>
    <w:p w14:paraId="3C779179" w14:textId="77777777" w:rsidR="001B5838" w:rsidRDefault="00000000">
      <w:r>
        <w:t>La baja contable de la operación incobrable. Es la última estación y es deliberadamente manual.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27"/>
      </w:tblGrid>
      <w:tr w:rsidR="001B5838" w14:paraId="3594E8DD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5214B3E2" w14:textId="77777777" w:rsidR="001B5838" w:rsidRDefault="00000000"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w="7427" w:type="dxa"/>
          </w:tcPr>
          <w:p w14:paraId="7F45D8A3" w14:textId="77777777" w:rsidR="001B5838" w:rsidRDefault="00000000">
            <w:r>
              <w:rPr>
                <w:sz w:val="20"/>
              </w:rPr>
              <w:t>Tesorería → Provisiones + Castigos</w:t>
            </w:r>
          </w:p>
        </w:tc>
      </w:tr>
      <w:tr w:rsidR="001B5838" w14:paraId="567F21E8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2CB645AC" w14:textId="77777777" w:rsidR="001B5838" w:rsidRDefault="00000000"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w="7427" w:type="dxa"/>
          </w:tcPr>
          <w:p w14:paraId="679B93BA" w14:textId="77777777" w:rsidR="001B5838" w:rsidRDefault="00000000">
            <w:r>
              <w:rPr>
                <w:sz w:val="20"/>
              </w:rPr>
              <w:t>Gerencia — doble firma gerencial</w:t>
            </w:r>
          </w:p>
        </w:tc>
      </w:tr>
      <w:tr w:rsidR="001B5838" w14:paraId="3C7C29B5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6644AB3A" w14:textId="77777777" w:rsidR="001B5838" w:rsidRDefault="00000000"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w="7427" w:type="dxa"/>
          </w:tcPr>
          <w:p w14:paraId="7369CA20" w14:textId="77777777" w:rsidR="001B5838" w:rsidRDefault="00000000">
            <w:r>
              <w:rPr>
                <w:sz w:val="20"/>
              </w:rPr>
              <w:t>Atribución de castigo</w:t>
            </w:r>
          </w:p>
        </w:tc>
      </w:tr>
      <w:tr w:rsidR="001B5838" w14:paraId="08BE8598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0258D6CE" w14:textId="77777777" w:rsidR="001B5838" w:rsidRDefault="00000000"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w="7427" w:type="dxa"/>
          </w:tcPr>
          <w:p w14:paraId="25354C58" w14:textId="77777777" w:rsidR="001B5838" w:rsidRDefault="00000000">
            <w:r>
              <w:rPr>
                <w:sz w:val="20"/>
              </w:rPr>
              <w:t>Gestión agotada · antecedentes de la causa</w:t>
            </w:r>
          </w:p>
        </w:tc>
      </w:tr>
    </w:tbl>
    <w:p w14:paraId="1017D67D" w14:textId="77777777" w:rsidR="001B5838" w:rsidRDefault="001B5838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B5838" w14:paraId="546A6359" w14:textId="77777777">
        <w:trPr>
          <w:jc w:val="center"/>
        </w:trPr>
        <w:tc>
          <w:tcPr>
            <w:tcW w:w="9354" w:type="dxa"/>
            <w:shd w:val="clear" w:color="auto" w:fill="FEE2E2"/>
          </w:tcPr>
          <w:p w14:paraId="7D8C2AB6" w14:textId="77777777" w:rsidR="001B5838" w:rsidRDefault="00000000">
            <w:r>
              <w:rPr>
                <w:b/>
                <w:color w:val="B91C1C"/>
                <w:sz w:val="21"/>
              </w:rPr>
              <w:t>🔒 Regla del sistema</w:t>
            </w:r>
          </w:p>
          <w:p w14:paraId="054F75E4" w14:textId="77777777" w:rsidR="001B5838" w:rsidRDefault="00000000">
            <w:pPr>
              <w:spacing w:after="40"/>
            </w:pPr>
            <w:r>
              <w:rPr>
                <w:sz w:val="21"/>
              </w:rPr>
              <w:t>El castigo NUNCA es automático. Exige doble firma gerencial y genera su asiento contable por regla de centralización. El cierre automático mensual de provisiones no castiga: solo provisiona.</w:t>
            </w:r>
          </w:p>
        </w:tc>
      </w:tr>
    </w:tbl>
    <w:p w14:paraId="10723E07" w14:textId="77777777" w:rsidR="001B5838" w:rsidRDefault="001B5838">
      <w:pPr>
        <w:spacing w:after="40"/>
      </w:pPr>
    </w:p>
    <w:p w14:paraId="09C24D37" w14:textId="77777777" w:rsidR="001B5838" w:rsidRDefault="00000000">
      <w:r>
        <w:t>Tras el castigo, el crédito queda CASTIGADO en estado de cartera. La recuperación posterior, si la hay, entra por caja como cualquier pago y genera su asiento.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B5838" w14:paraId="7C69953C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7E18F312" w14:textId="77777777" w:rsidR="001B5838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4 · Castigos</w:t>
            </w:r>
          </w:p>
          <w:p w14:paraId="1E31ED4E" w14:textId="77777777" w:rsidR="001B5838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Una solicitud de castigo con sus dos firmas.</w:t>
            </w:r>
          </w:p>
        </w:tc>
      </w:tr>
    </w:tbl>
    <w:p w14:paraId="798F1F12" w14:textId="77777777" w:rsidR="001B5838" w:rsidRDefault="001B5838">
      <w:pPr>
        <w:spacing w:after="40"/>
      </w:pPr>
    </w:p>
    <w:p w14:paraId="02A7F48C" w14:textId="77777777" w:rsidR="001B5838" w:rsidRDefault="00000000">
      <w:r>
        <w:br w:type="page"/>
      </w:r>
    </w:p>
    <w:p w14:paraId="005D4DD8" w14:textId="77777777" w:rsidR="001B5838" w:rsidRDefault="00000000">
      <w:pPr>
        <w:pStyle w:val="Ttulo1"/>
      </w:pPr>
      <w:bookmarkStart w:id="10" w:name="_Toc237896434"/>
      <w:r>
        <w:lastRenderedPageBreak/>
        <w:t>6. Cómo paga el cliente: caja, portal y prepago</w:t>
      </w:r>
      <w:bookmarkEnd w:id="10"/>
    </w:p>
    <w:p w14:paraId="168006AE" w14:textId="77777777" w:rsidR="001B5838" w:rsidRDefault="00000000">
      <w:r>
        <w:t>Las vías de normalización que la cobranza debe conocer (el detalle operativo vive en el Manual de Contabilidad y Tesorería):</w:t>
      </w:r>
    </w:p>
    <w:p w14:paraId="488CF5F4" w14:textId="77777777" w:rsidR="001B5838" w:rsidRDefault="00000000">
      <w:pPr>
        <w:pStyle w:val="Listaconvietas"/>
      </w:pPr>
      <w:r>
        <w:rPr>
          <w:b/>
        </w:rPr>
        <w:t xml:space="preserve">Caja (Tesorería → Caja): </w:t>
      </w:r>
      <w:r>
        <w:t>cuotas individuales o en lote, con la mora y gastos del motor único. Comprobante con timbre PAGADO.</w:t>
      </w:r>
    </w:p>
    <w:p w14:paraId="62C47CC9" w14:textId="77777777" w:rsidR="001B5838" w:rsidRDefault="00000000">
      <w:pPr>
        <w:pStyle w:val="Listaconvietas"/>
      </w:pPr>
      <w:r>
        <w:rPr>
          <w:b/>
        </w:rPr>
        <w:t xml:space="preserve">Portal del cliente: </w:t>
      </w:r>
      <w:r>
        <w:t>el cliente entra con RUT + código OTP a /mis-creditos, ve sus cuotas y su mora — los MISMOS valores que la caja, porque es el mismo motor.</w:t>
      </w:r>
    </w:p>
    <w:p w14:paraId="26F4217C" w14:textId="77777777" w:rsidR="001B5838" w:rsidRDefault="00000000">
      <w:pPr>
        <w:pStyle w:val="Listaconvietas"/>
      </w:pPr>
      <w:r>
        <w:rPr>
          <w:b/>
        </w:rPr>
        <w:t xml:space="preserve">Prepago: </w:t>
      </w:r>
      <w:r>
        <w:t>saldar el crédito completo: al valor del motor (caja) o con descuento negociado (Aplicación de Fondos, con firmas). El orden de condonación es fijo: primero gastos, luego intereses; capital nunca.</w:t>
      </w:r>
    </w:p>
    <w:p w14:paraId="7EB54C30" w14:textId="77777777" w:rsidR="001B5838" w:rsidRDefault="00000000">
      <w:pPr>
        <w:pStyle w:val="Listaconvietas"/>
      </w:pPr>
      <w:r>
        <w:rPr>
          <w:b/>
        </w:rPr>
        <w:t xml:space="preserve">Transitorias: </w:t>
      </w:r>
      <w:r>
        <w:t>un abono no identificado espera en Cuentas Transitorias y se aplica al aclarar el pagador — si un cliente jura que pagó y no aparece, revisar ahí primero.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B5838" w14:paraId="29050923" w14:textId="77777777">
        <w:trPr>
          <w:jc w:val="center"/>
        </w:trPr>
        <w:tc>
          <w:tcPr>
            <w:tcW w:w="9354" w:type="dxa"/>
            <w:shd w:val="clear" w:color="auto" w:fill="FEF3C7"/>
          </w:tcPr>
          <w:p w14:paraId="0C38CBD8" w14:textId="77777777" w:rsidR="001B5838" w:rsidRDefault="00000000">
            <w:r>
              <w:rPr>
                <w:b/>
                <w:color w:val="B45F06"/>
                <w:sz w:val="21"/>
              </w:rPr>
              <w:t>⚠ OJO</w:t>
            </w:r>
          </w:p>
          <w:p w14:paraId="79F0E16D" w14:textId="77777777" w:rsidR="001B5838" w:rsidRDefault="00000000">
            <w:pPr>
              <w:spacing w:after="40"/>
            </w:pPr>
            <w:r>
              <w:rPr>
                <w:sz w:val="21"/>
              </w:rPr>
              <w:t>Si el cliente reclama que "el sistema le cobra distinto" entre el portal, el certificado y la caja: no puede pasar, es el mismo motor. Si de verdad difiere, es un bug — reportarlo a TI de inmediato con los pantallazos.</w:t>
            </w:r>
          </w:p>
        </w:tc>
      </w:tr>
    </w:tbl>
    <w:p w14:paraId="413C44FA" w14:textId="77777777" w:rsidR="001B5838" w:rsidRDefault="001B5838">
      <w:pPr>
        <w:spacing w:after="40"/>
      </w:pPr>
    </w:p>
    <w:p w14:paraId="402F0CAD" w14:textId="77777777" w:rsidR="001B5838" w:rsidRDefault="00000000">
      <w:r>
        <w:br w:type="page"/>
      </w:r>
    </w:p>
    <w:p w14:paraId="68062B3A" w14:textId="77777777" w:rsidR="001B5838" w:rsidRDefault="00000000">
      <w:pPr>
        <w:pStyle w:val="Ttulo1"/>
      </w:pPr>
      <w:bookmarkStart w:id="11" w:name="_Toc237896435"/>
      <w:r>
        <w:lastRenderedPageBreak/>
        <w:t>7. Lo que tu gestión mueve: provisiones y score</w:t>
      </w:r>
      <w:bookmarkEnd w:id="11"/>
    </w:p>
    <w:p w14:paraId="4FB53CDE" w14:textId="77777777" w:rsidR="001B5838" w:rsidRDefault="00000000">
      <w:pPr>
        <w:pStyle w:val="Listaconvietas"/>
      </w:pPr>
      <w:r>
        <w:rPr>
          <w:b/>
        </w:rPr>
        <w:t xml:space="preserve">Provisiones: </w:t>
      </w:r>
      <w:r>
        <w:t>cada tramo de atraso provisiona un porcentaje del saldo (Parámetros de Cobranza). Tu gestión que normaliza un crédito libera provisión el mes siguiente; el deterioro la constituye. El sistema la calcula solo al cierre.</w:t>
      </w:r>
    </w:p>
    <w:p w14:paraId="76ECE098" w14:textId="77777777" w:rsidR="001B5838" w:rsidRDefault="00000000">
      <w:pPr>
        <w:pStyle w:val="Listaconvietas"/>
      </w:pPr>
      <w:r>
        <w:rPr>
          <w:b/>
        </w:rPr>
        <w:t xml:space="preserve">Score de Mora: </w:t>
      </w:r>
      <w:r>
        <w:t>la mora histórica por segmento alimenta la política de crédito — la cobranza de hoy es la política de admisión de mañana.</w:t>
      </w:r>
    </w:p>
    <w:p w14:paraId="78712026" w14:textId="77777777" w:rsidR="001B5838" w:rsidRDefault="00000000">
      <w:pPr>
        <w:pStyle w:val="Listaconvietas"/>
      </w:pPr>
      <w:r>
        <w:rPr>
          <w:b/>
        </w:rPr>
        <w:t xml:space="preserve">CRM: </w:t>
      </w:r>
      <w:r>
        <w:t>las gestiones y compromisos quedan en el CRM y alimentan los informes del área.</w:t>
      </w:r>
    </w:p>
    <w:p w14:paraId="26EB589A" w14:textId="77777777" w:rsidR="001B5838" w:rsidRDefault="00000000">
      <w:r>
        <w:br w:type="page"/>
      </w:r>
    </w:p>
    <w:p w14:paraId="2DB2DD18" w14:textId="77777777" w:rsidR="001B5838" w:rsidRDefault="00000000">
      <w:pPr>
        <w:pStyle w:val="Ttulo1"/>
      </w:pPr>
      <w:bookmarkStart w:id="12" w:name="_Toc237896436"/>
      <w:r>
        <w:lastRenderedPageBreak/>
        <w:t>Anexo A. Síntomas frecuentes y su causa</w:t>
      </w:r>
      <w:bookmarkEnd w:id="1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75"/>
        <w:gridCol w:w="3175"/>
        <w:gridCol w:w="3005"/>
      </w:tblGrid>
      <w:tr w:rsidR="001B5838" w14:paraId="5E942FFE" w14:textId="77777777">
        <w:trPr>
          <w:jc w:val="center"/>
        </w:trPr>
        <w:tc>
          <w:tcPr>
            <w:tcW w:w="3175" w:type="dxa"/>
            <w:shd w:val="clear" w:color="auto" w:fill="012D70"/>
          </w:tcPr>
          <w:p w14:paraId="41D8B0B2" w14:textId="77777777" w:rsidR="001B5838" w:rsidRDefault="00000000">
            <w:r>
              <w:rPr>
                <w:b/>
                <w:color w:val="FFFFFF"/>
                <w:sz w:val="19"/>
              </w:rPr>
              <w:t>Síntoma</w:t>
            </w:r>
          </w:p>
        </w:tc>
        <w:tc>
          <w:tcPr>
            <w:tcW w:w="3175" w:type="dxa"/>
            <w:shd w:val="clear" w:color="auto" w:fill="012D70"/>
          </w:tcPr>
          <w:p w14:paraId="30FF6160" w14:textId="77777777" w:rsidR="001B5838" w:rsidRDefault="00000000">
            <w:r>
              <w:rPr>
                <w:b/>
                <w:color w:val="FFFFFF"/>
                <w:sz w:val="19"/>
              </w:rPr>
              <w:t>Causa probable</w:t>
            </w:r>
          </w:p>
        </w:tc>
        <w:tc>
          <w:tcPr>
            <w:tcW w:w="3005" w:type="dxa"/>
            <w:shd w:val="clear" w:color="auto" w:fill="012D70"/>
          </w:tcPr>
          <w:p w14:paraId="50476901" w14:textId="77777777" w:rsidR="001B5838" w:rsidRDefault="00000000">
            <w:r>
              <w:rPr>
                <w:b/>
                <w:color w:val="FFFFFF"/>
                <w:sz w:val="19"/>
              </w:rPr>
              <w:t>Qué hacer</w:t>
            </w:r>
          </w:p>
        </w:tc>
      </w:tr>
      <w:tr w:rsidR="001B5838" w14:paraId="4D3A9F28" w14:textId="77777777">
        <w:trPr>
          <w:jc w:val="center"/>
        </w:trPr>
        <w:tc>
          <w:tcPr>
            <w:tcW w:w="3175" w:type="dxa"/>
          </w:tcPr>
          <w:p w14:paraId="7601FAF0" w14:textId="77777777" w:rsidR="001B5838" w:rsidRDefault="00000000">
            <w:r>
              <w:rPr>
                <w:sz w:val="19"/>
              </w:rPr>
              <w:t>No puedo hacer otra gestión esta semana</w:t>
            </w:r>
          </w:p>
        </w:tc>
        <w:tc>
          <w:tcPr>
            <w:tcW w:w="3175" w:type="dxa"/>
          </w:tcPr>
          <w:p w14:paraId="4504B6F5" w14:textId="77777777" w:rsidR="001B5838" w:rsidRDefault="00000000">
            <w:r>
              <w:rPr>
                <w:sz w:val="19"/>
              </w:rPr>
              <w:t>Tope legal de gestiones alcanzado</w:t>
            </w:r>
          </w:p>
        </w:tc>
        <w:tc>
          <w:tcPr>
            <w:tcW w:w="3005" w:type="dxa"/>
          </w:tcPr>
          <w:p w14:paraId="60EBB2E3" w14:textId="77777777" w:rsidR="001B5838" w:rsidRDefault="00000000">
            <w:r>
              <w:rPr>
                <w:sz w:val="19"/>
              </w:rPr>
              <w:t>Esperar: el bloqueo es de ley, no del sistema (cap. 1)</w:t>
            </w:r>
          </w:p>
        </w:tc>
      </w:tr>
      <w:tr w:rsidR="001B5838" w14:paraId="20558FEC" w14:textId="77777777">
        <w:trPr>
          <w:jc w:val="center"/>
        </w:trPr>
        <w:tc>
          <w:tcPr>
            <w:tcW w:w="3175" w:type="dxa"/>
          </w:tcPr>
          <w:p w14:paraId="5CF8A290" w14:textId="77777777" w:rsidR="001B5838" w:rsidRDefault="00000000">
            <w:r>
              <w:rPr>
                <w:sz w:val="19"/>
              </w:rPr>
              <w:t>El cliente dice que pagó y sigue en mora</w:t>
            </w:r>
          </w:p>
        </w:tc>
        <w:tc>
          <w:tcPr>
            <w:tcW w:w="3175" w:type="dxa"/>
          </w:tcPr>
          <w:p w14:paraId="498150C5" w14:textId="77777777" w:rsidR="001B5838" w:rsidRDefault="00000000">
            <w:r>
              <w:rPr>
                <w:sz w:val="19"/>
              </w:rPr>
              <w:t>Abono no identificado</w:t>
            </w:r>
          </w:p>
        </w:tc>
        <w:tc>
          <w:tcPr>
            <w:tcW w:w="3005" w:type="dxa"/>
          </w:tcPr>
          <w:p w14:paraId="010462F9" w14:textId="77777777" w:rsidR="001B5838" w:rsidRDefault="00000000">
            <w:r>
              <w:rPr>
                <w:sz w:val="19"/>
              </w:rPr>
              <w:t>Buscar en Cuentas Transitorias (cap. 6)</w:t>
            </w:r>
          </w:p>
        </w:tc>
      </w:tr>
      <w:tr w:rsidR="001B5838" w14:paraId="5DE09412" w14:textId="77777777">
        <w:trPr>
          <w:jc w:val="center"/>
        </w:trPr>
        <w:tc>
          <w:tcPr>
            <w:tcW w:w="3175" w:type="dxa"/>
          </w:tcPr>
          <w:p w14:paraId="0D7F23AF" w14:textId="77777777" w:rsidR="001B5838" w:rsidRDefault="00000000">
            <w:r>
              <w:rPr>
                <w:sz w:val="19"/>
              </w:rPr>
              <w:t>La mora del portal difiere de la de caja</w:t>
            </w:r>
          </w:p>
        </w:tc>
        <w:tc>
          <w:tcPr>
            <w:tcW w:w="3175" w:type="dxa"/>
          </w:tcPr>
          <w:p w14:paraId="6188B279" w14:textId="77777777" w:rsidR="001B5838" w:rsidRDefault="00000000">
            <w:r>
              <w:rPr>
                <w:sz w:val="19"/>
              </w:rPr>
              <w:t>No puede pasar (mismo motor)</w:t>
            </w:r>
          </w:p>
        </w:tc>
        <w:tc>
          <w:tcPr>
            <w:tcW w:w="3005" w:type="dxa"/>
          </w:tcPr>
          <w:p w14:paraId="5433AF80" w14:textId="77777777" w:rsidR="001B5838" w:rsidRDefault="00000000">
            <w:r>
              <w:rPr>
                <w:sz w:val="19"/>
              </w:rPr>
              <w:t>Reportar a TI con pantallazos (cap. 6)</w:t>
            </w:r>
          </w:p>
        </w:tc>
      </w:tr>
      <w:tr w:rsidR="001B5838" w14:paraId="5EA186EE" w14:textId="77777777">
        <w:trPr>
          <w:jc w:val="center"/>
        </w:trPr>
        <w:tc>
          <w:tcPr>
            <w:tcW w:w="3175" w:type="dxa"/>
          </w:tcPr>
          <w:p w14:paraId="0B9D56D3" w14:textId="77777777" w:rsidR="001B5838" w:rsidRDefault="00000000">
            <w:r>
              <w:rPr>
                <w:sz w:val="19"/>
              </w:rPr>
              <w:t>Los gastos de cobranza no aparecen</w:t>
            </w:r>
          </w:p>
        </w:tc>
        <w:tc>
          <w:tcPr>
            <w:tcW w:w="3175" w:type="dxa"/>
          </w:tcPr>
          <w:p w14:paraId="2E189FCA" w14:textId="77777777" w:rsidR="001B5838" w:rsidRDefault="00000000">
            <w:r>
              <w:rPr>
                <w:sz w:val="19"/>
              </w:rPr>
              <w:t>Menos de 21 días de atraso</w:t>
            </w:r>
          </w:p>
        </w:tc>
        <w:tc>
          <w:tcPr>
            <w:tcW w:w="3005" w:type="dxa"/>
          </w:tcPr>
          <w:p w14:paraId="01B6D8A3" w14:textId="77777777" w:rsidR="001B5838" w:rsidRDefault="00000000">
            <w:r>
              <w:rPr>
                <w:sz w:val="19"/>
              </w:rPr>
              <w:t>Corren desde el día 21 (cap. 1)</w:t>
            </w:r>
          </w:p>
        </w:tc>
      </w:tr>
      <w:tr w:rsidR="001B5838" w14:paraId="08DDA80F" w14:textId="77777777">
        <w:trPr>
          <w:jc w:val="center"/>
        </w:trPr>
        <w:tc>
          <w:tcPr>
            <w:tcW w:w="3175" w:type="dxa"/>
          </w:tcPr>
          <w:p w14:paraId="75C24E9F" w14:textId="77777777" w:rsidR="001B5838" w:rsidRDefault="00000000">
            <w:r>
              <w:rPr>
                <w:sz w:val="19"/>
              </w:rPr>
              <w:t>Quiero condonar parte del capital</w:t>
            </w:r>
          </w:p>
        </w:tc>
        <w:tc>
          <w:tcPr>
            <w:tcW w:w="3175" w:type="dxa"/>
          </w:tcPr>
          <w:p w14:paraId="3A4F2BC3" w14:textId="77777777" w:rsidR="001B5838" w:rsidRDefault="00000000">
            <w:r>
              <w:rPr>
                <w:sz w:val="19"/>
              </w:rPr>
              <w:t>No existe esa vía</w:t>
            </w:r>
          </w:p>
        </w:tc>
        <w:tc>
          <w:tcPr>
            <w:tcW w:w="3005" w:type="dxa"/>
          </w:tcPr>
          <w:p w14:paraId="0A4EB761" w14:textId="77777777" w:rsidR="001B5838" w:rsidRDefault="00000000">
            <w:r>
              <w:rPr>
                <w:sz w:val="19"/>
              </w:rPr>
              <w:t>El capital nunca se condona (cap. 6)</w:t>
            </w:r>
          </w:p>
        </w:tc>
      </w:tr>
      <w:tr w:rsidR="001B5838" w14:paraId="235217FB" w14:textId="77777777">
        <w:trPr>
          <w:jc w:val="center"/>
        </w:trPr>
        <w:tc>
          <w:tcPr>
            <w:tcW w:w="3175" w:type="dxa"/>
          </w:tcPr>
          <w:p w14:paraId="3A84F42F" w14:textId="77777777" w:rsidR="001B5838" w:rsidRDefault="00000000">
            <w:r>
              <w:rPr>
                <w:sz w:val="19"/>
              </w:rPr>
              <w:t>El crédito moroso no sale en mi informe de otorgados</w:t>
            </w:r>
          </w:p>
        </w:tc>
        <w:tc>
          <w:tcPr>
            <w:tcW w:w="3175" w:type="dxa"/>
          </w:tcPr>
          <w:p w14:paraId="19987369" w14:textId="77777777" w:rsidR="001B5838" w:rsidRDefault="00000000">
            <w:r>
              <w:rPr>
                <w:sz w:val="19"/>
              </w:rPr>
              <w:t>Confusión etapa / estado de cartera</w:t>
            </w:r>
          </w:p>
        </w:tc>
        <w:tc>
          <w:tcPr>
            <w:tcW w:w="3005" w:type="dxa"/>
          </w:tcPr>
          <w:p w14:paraId="08904FCD" w14:textId="77777777" w:rsidR="001B5838" w:rsidRDefault="00000000">
            <w:r>
              <w:rPr>
                <w:sz w:val="19"/>
              </w:rPr>
              <w:t>EN MORA sigue siendo OTORGADO en etapa (cap. 1)</w:t>
            </w:r>
          </w:p>
        </w:tc>
      </w:tr>
    </w:tbl>
    <w:p w14:paraId="1F6ECDFB" w14:textId="77777777" w:rsidR="001B5838" w:rsidRDefault="001B5838">
      <w:pPr>
        <w:spacing w:after="40"/>
      </w:pPr>
    </w:p>
    <w:p w14:paraId="78E0C8D5" w14:textId="77777777" w:rsidR="001B5838" w:rsidRDefault="00000000">
      <w:r>
        <w:br w:type="page"/>
      </w:r>
    </w:p>
    <w:p w14:paraId="62858B7D" w14:textId="77777777" w:rsidR="001B5838" w:rsidRDefault="00000000">
      <w:pPr>
        <w:pStyle w:val="Ttulo1"/>
      </w:pPr>
      <w:bookmarkStart w:id="13" w:name="_Toc237896437"/>
      <w:r>
        <w:lastRenderedPageBreak/>
        <w:t>Anexo B. Glosario</w:t>
      </w:r>
      <w:bookmarkEnd w:id="13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38"/>
        <w:gridCol w:w="6917"/>
      </w:tblGrid>
      <w:tr w:rsidR="001B5838" w14:paraId="47F91981" w14:textId="77777777">
        <w:trPr>
          <w:jc w:val="center"/>
        </w:trPr>
        <w:tc>
          <w:tcPr>
            <w:tcW w:w="2438" w:type="dxa"/>
            <w:shd w:val="clear" w:color="auto" w:fill="012D70"/>
          </w:tcPr>
          <w:p w14:paraId="38451AD8" w14:textId="77777777" w:rsidR="001B5838" w:rsidRDefault="00000000">
            <w:r>
              <w:rPr>
                <w:b/>
                <w:color w:val="FFFFFF"/>
                <w:sz w:val="19"/>
              </w:rPr>
              <w:t>Término</w:t>
            </w:r>
          </w:p>
        </w:tc>
        <w:tc>
          <w:tcPr>
            <w:tcW w:w="6917" w:type="dxa"/>
            <w:shd w:val="clear" w:color="auto" w:fill="012D70"/>
          </w:tcPr>
          <w:p w14:paraId="4E23A18A" w14:textId="77777777" w:rsidR="001B5838" w:rsidRDefault="00000000">
            <w:r>
              <w:rPr>
                <w:b/>
                <w:color w:val="FFFFFF"/>
                <w:sz w:val="19"/>
              </w:rPr>
              <w:t>Significado</w:t>
            </w:r>
          </w:p>
        </w:tc>
      </w:tr>
      <w:tr w:rsidR="001B5838" w14:paraId="16D5B406" w14:textId="77777777">
        <w:trPr>
          <w:jc w:val="center"/>
        </w:trPr>
        <w:tc>
          <w:tcPr>
            <w:tcW w:w="2438" w:type="dxa"/>
          </w:tcPr>
          <w:p w14:paraId="3A5432B2" w14:textId="77777777" w:rsidR="001B5838" w:rsidRDefault="00000000">
            <w:r>
              <w:rPr>
                <w:sz w:val="19"/>
              </w:rPr>
              <w:t>Estado de cartera</w:t>
            </w:r>
          </w:p>
        </w:tc>
        <w:tc>
          <w:tcPr>
            <w:tcW w:w="6917" w:type="dxa"/>
          </w:tcPr>
          <w:p w14:paraId="4B299F6B" w14:textId="77777777" w:rsidR="001B5838" w:rsidRDefault="00000000">
            <w:r>
              <w:rPr>
                <w:sz w:val="19"/>
              </w:rPr>
              <w:t>Cómo paga el crédito: VIGENTE, EN MORA, VENCIDO, PREPAGADO, CASTIGADO</w:t>
            </w:r>
          </w:p>
        </w:tc>
      </w:tr>
      <w:tr w:rsidR="001B5838" w14:paraId="44C17EE2" w14:textId="77777777">
        <w:trPr>
          <w:jc w:val="center"/>
        </w:trPr>
        <w:tc>
          <w:tcPr>
            <w:tcW w:w="2438" w:type="dxa"/>
          </w:tcPr>
          <w:p w14:paraId="1F681017" w14:textId="77777777" w:rsidR="001B5838" w:rsidRDefault="00000000">
            <w:r>
              <w:rPr>
                <w:sz w:val="19"/>
              </w:rPr>
              <w:t>TMC</w:t>
            </w:r>
          </w:p>
        </w:tc>
        <w:tc>
          <w:tcPr>
            <w:tcW w:w="6917" w:type="dxa"/>
          </w:tcPr>
          <w:p w14:paraId="763E07E3" w14:textId="77777777" w:rsidR="001B5838" w:rsidRDefault="00000000">
            <w:r>
              <w:rPr>
                <w:sz w:val="19"/>
              </w:rPr>
              <w:t>Tasa máxima convencional; la tasa de mora queda fija al otorgamiento</w:t>
            </w:r>
          </w:p>
        </w:tc>
      </w:tr>
      <w:tr w:rsidR="001B5838" w14:paraId="5FA3DE69" w14:textId="77777777">
        <w:trPr>
          <w:jc w:val="center"/>
        </w:trPr>
        <w:tc>
          <w:tcPr>
            <w:tcW w:w="2438" w:type="dxa"/>
          </w:tcPr>
          <w:p w14:paraId="4E2D81D6" w14:textId="77777777" w:rsidR="001B5838" w:rsidRDefault="00000000">
            <w:r>
              <w:rPr>
                <w:sz w:val="19"/>
              </w:rPr>
              <w:t>Tramo</w:t>
            </w:r>
          </w:p>
        </w:tc>
        <w:tc>
          <w:tcPr>
            <w:tcW w:w="6917" w:type="dxa"/>
          </w:tcPr>
          <w:p w14:paraId="42DAD17F" w14:textId="77777777" w:rsidR="001B5838" w:rsidRDefault="00000000">
            <w:r>
              <w:rPr>
                <w:sz w:val="19"/>
              </w:rPr>
              <w:t>Rango de días de atraso que define gestiones, gastos y provisión</w:t>
            </w:r>
          </w:p>
        </w:tc>
      </w:tr>
      <w:tr w:rsidR="001B5838" w14:paraId="258A2041" w14:textId="77777777">
        <w:trPr>
          <w:jc w:val="center"/>
        </w:trPr>
        <w:tc>
          <w:tcPr>
            <w:tcW w:w="2438" w:type="dxa"/>
          </w:tcPr>
          <w:p w14:paraId="2C9843DA" w14:textId="77777777" w:rsidR="001B5838" w:rsidRDefault="00000000">
            <w:r>
              <w:rPr>
                <w:sz w:val="19"/>
              </w:rPr>
              <w:t>Bitácora CRM</w:t>
            </w:r>
          </w:p>
        </w:tc>
        <w:tc>
          <w:tcPr>
            <w:tcW w:w="6917" w:type="dxa"/>
          </w:tcPr>
          <w:p w14:paraId="686FD6A3" w14:textId="77777777" w:rsidR="001B5838" w:rsidRDefault="00000000">
            <w:r>
              <w:rPr>
                <w:sz w:val="19"/>
              </w:rPr>
              <w:t>Registro único de todas las gestiones de un crédito</w:t>
            </w:r>
          </w:p>
        </w:tc>
      </w:tr>
      <w:tr w:rsidR="001B5838" w14:paraId="6591FE7A" w14:textId="77777777">
        <w:trPr>
          <w:jc w:val="center"/>
        </w:trPr>
        <w:tc>
          <w:tcPr>
            <w:tcW w:w="2438" w:type="dxa"/>
          </w:tcPr>
          <w:p w14:paraId="3F042CD0" w14:textId="77777777" w:rsidR="001B5838" w:rsidRDefault="00000000">
            <w:r>
              <w:rPr>
                <w:sz w:val="19"/>
              </w:rPr>
              <w:t>Compromiso de pago</w:t>
            </w:r>
          </w:p>
        </w:tc>
        <w:tc>
          <w:tcPr>
            <w:tcW w:w="6917" w:type="dxa"/>
          </w:tcPr>
          <w:p w14:paraId="1E38012E" w14:textId="77777777" w:rsidR="001B5838" w:rsidRDefault="00000000">
            <w:r>
              <w:rPr>
                <w:sz w:val="19"/>
              </w:rPr>
              <w:t>Promesa registrada con fecha y monto; su cumplimiento se sigue</w:t>
            </w:r>
          </w:p>
        </w:tc>
      </w:tr>
      <w:tr w:rsidR="001B5838" w14:paraId="491B5EAE" w14:textId="77777777">
        <w:trPr>
          <w:jc w:val="center"/>
        </w:trPr>
        <w:tc>
          <w:tcPr>
            <w:tcW w:w="2438" w:type="dxa"/>
          </w:tcPr>
          <w:p w14:paraId="2CDC7413" w14:textId="77777777" w:rsidR="001B5838" w:rsidRDefault="00000000">
            <w:r>
              <w:rPr>
                <w:sz w:val="19"/>
              </w:rPr>
              <w:t>Provisión</w:t>
            </w:r>
          </w:p>
        </w:tc>
        <w:tc>
          <w:tcPr>
            <w:tcW w:w="6917" w:type="dxa"/>
          </w:tcPr>
          <w:p w14:paraId="205DCA01" w14:textId="77777777" w:rsidR="001B5838" w:rsidRDefault="00000000">
            <w:r>
              <w:rPr>
                <w:sz w:val="19"/>
              </w:rPr>
              <w:t>Reconocimiento contable del riesgo por tramo de mora</w:t>
            </w:r>
          </w:p>
        </w:tc>
      </w:tr>
      <w:tr w:rsidR="001B5838" w14:paraId="6E480D15" w14:textId="77777777">
        <w:trPr>
          <w:jc w:val="center"/>
        </w:trPr>
        <w:tc>
          <w:tcPr>
            <w:tcW w:w="2438" w:type="dxa"/>
          </w:tcPr>
          <w:p w14:paraId="3A0C1CA4" w14:textId="77777777" w:rsidR="001B5838" w:rsidRDefault="00000000">
            <w:r>
              <w:rPr>
                <w:sz w:val="19"/>
              </w:rPr>
              <w:t>Castigo</w:t>
            </w:r>
          </w:p>
        </w:tc>
        <w:tc>
          <w:tcPr>
            <w:tcW w:w="6917" w:type="dxa"/>
          </w:tcPr>
          <w:p w14:paraId="7DB39AD6" w14:textId="77777777" w:rsidR="001B5838" w:rsidRDefault="00000000">
            <w:r>
              <w:rPr>
                <w:sz w:val="19"/>
              </w:rPr>
              <w:t>Baja contable del incobrable; doble firma gerencial</w:t>
            </w:r>
          </w:p>
        </w:tc>
      </w:tr>
      <w:tr w:rsidR="001B5838" w14:paraId="59C7E1D3" w14:textId="77777777">
        <w:trPr>
          <w:jc w:val="center"/>
        </w:trPr>
        <w:tc>
          <w:tcPr>
            <w:tcW w:w="2438" w:type="dxa"/>
          </w:tcPr>
          <w:p w14:paraId="5D2ADCE2" w14:textId="77777777" w:rsidR="001B5838" w:rsidRDefault="00000000">
            <w:r>
              <w:rPr>
                <w:sz w:val="19"/>
              </w:rPr>
              <w:t>Aplicación de Fondos</w:t>
            </w:r>
          </w:p>
        </w:tc>
        <w:tc>
          <w:tcPr>
            <w:tcW w:w="6917" w:type="dxa"/>
          </w:tcPr>
          <w:p w14:paraId="5068A67D" w14:textId="77777777" w:rsidR="001B5838" w:rsidRDefault="00000000">
            <w:r>
              <w:rPr>
                <w:sz w:val="19"/>
              </w:rPr>
              <w:t>Prepago con descuento negociado y cadena de firmas</w:t>
            </w:r>
          </w:p>
        </w:tc>
      </w:tr>
      <w:tr w:rsidR="001B5838" w14:paraId="4FB4B7FF" w14:textId="77777777">
        <w:trPr>
          <w:jc w:val="center"/>
        </w:trPr>
        <w:tc>
          <w:tcPr>
            <w:tcW w:w="2438" w:type="dxa"/>
          </w:tcPr>
          <w:p w14:paraId="642F4261" w14:textId="77777777" w:rsidR="001B5838" w:rsidRDefault="00000000">
            <w:r>
              <w:rPr>
                <w:sz w:val="19"/>
              </w:rPr>
              <w:t>Score de Mora</w:t>
            </w:r>
          </w:p>
        </w:tc>
        <w:tc>
          <w:tcPr>
            <w:tcW w:w="6917" w:type="dxa"/>
          </w:tcPr>
          <w:p w14:paraId="04125E35" w14:textId="77777777" w:rsidR="001B5838" w:rsidRDefault="00000000">
            <w:r>
              <w:rPr>
                <w:sz w:val="19"/>
              </w:rPr>
              <w:t>Mora histórica por segmento; alimenta la política de crédito</w:t>
            </w:r>
          </w:p>
        </w:tc>
      </w:tr>
      <w:tr w:rsidR="001B5838" w14:paraId="46B1F690" w14:textId="77777777">
        <w:trPr>
          <w:jc w:val="center"/>
        </w:trPr>
        <w:tc>
          <w:tcPr>
            <w:tcW w:w="2438" w:type="dxa"/>
          </w:tcPr>
          <w:p w14:paraId="630399EF" w14:textId="77777777" w:rsidR="001B5838" w:rsidRDefault="00000000">
            <w:r>
              <w:rPr>
                <w:sz w:val="19"/>
              </w:rPr>
              <w:t>PWA Terreno</w:t>
            </w:r>
          </w:p>
        </w:tc>
        <w:tc>
          <w:tcPr>
            <w:tcW w:w="6917" w:type="dxa"/>
          </w:tcPr>
          <w:p w14:paraId="1C356009" w14:textId="77777777" w:rsidR="001B5838" w:rsidRDefault="00000000">
            <w:r>
              <w:rPr>
                <w:sz w:val="19"/>
              </w:rPr>
              <w:t>App móvil de visitas: ruta del día, check-in GPS y fotos</w:t>
            </w:r>
          </w:p>
        </w:tc>
      </w:tr>
    </w:tbl>
    <w:p w14:paraId="344CBC1E" w14:textId="77777777" w:rsidR="001B5838" w:rsidRDefault="001B5838">
      <w:pPr>
        <w:spacing w:after="40"/>
      </w:pPr>
    </w:p>
    <w:p w14:paraId="7ED9A183" w14:textId="77777777" w:rsidR="001B5838" w:rsidRDefault="00000000">
      <w:r>
        <w:br w:type="page"/>
      </w:r>
    </w:p>
    <w:p w14:paraId="7E161DE4" w14:textId="77777777" w:rsidR="001B5838" w:rsidRDefault="00000000">
      <w:pPr>
        <w:pStyle w:val="Ttulo1"/>
      </w:pPr>
      <w:bookmarkStart w:id="14" w:name="_Toc237896438"/>
      <w:r>
        <w:lastRenderedPageBreak/>
        <w:t>Anexo C. Capturas pendientes de esta versión</w:t>
      </w:r>
      <w:bookmarkEnd w:id="14"/>
    </w:p>
    <w:p w14:paraId="3185A50C" w14:textId="77777777" w:rsidR="001B5838" w:rsidRDefault="00000000">
      <w:r>
        <w:t>Recorrer las pantallas en este orden y reemplazar cada recuadro gris: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3572"/>
        <w:gridCol w:w="5102"/>
      </w:tblGrid>
      <w:tr w:rsidR="001B5838" w14:paraId="74954F5F" w14:textId="77777777">
        <w:trPr>
          <w:jc w:val="center"/>
        </w:trPr>
        <w:tc>
          <w:tcPr>
            <w:tcW w:w="680" w:type="dxa"/>
            <w:shd w:val="clear" w:color="auto" w:fill="012D70"/>
          </w:tcPr>
          <w:p w14:paraId="6F198284" w14:textId="77777777" w:rsidR="001B5838" w:rsidRDefault="00000000">
            <w:r>
              <w:rPr>
                <w:b/>
                <w:color w:val="FFFFFF"/>
                <w:sz w:val="19"/>
              </w:rPr>
              <w:t>N°</w:t>
            </w:r>
          </w:p>
        </w:tc>
        <w:tc>
          <w:tcPr>
            <w:tcW w:w="3572" w:type="dxa"/>
            <w:shd w:val="clear" w:color="auto" w:fill="012D70"/>
          </w:tcPr>
          <w:p w14:paraId="40B0F4E5" w14:textId="77777777" w:rsidR="001B5838" w:rsidRDefault="00000000">
            <w:r>
              <w:rPr>
                <w:b/>
                <w:color w:val="FFFFFF"/>
                <w:sz w:val="19"/>
              </w:rPr>
              <w:t>Pantalla</w:t>
            </w:r>
          </w:p>
        </w:tc>
        <w:tc>
          <w:tcPr>
            <w:tcW w:w="5102" w:type="dxa"/>
            <w:shd w:val="clear" w:color="auto" w:fill="012D70"/>
          </w:tcPr>
          <w:p w14:paraId="5FAFC13E" w14:textId="77777777" w:rsidR="001B5838" w:rsidRDefault="00000000">
            <w:r>
              <w:rPr>
                <w:b/>
                <w:color w:val="FFFFFF"/>
                <w:sz w:val="19"/>
              </w:rPr>
              <w:t>Qué debe mostrar</w:t>
            </w:r>
          </w:p>
        </w:tc>
      </w:tr>
      <w:tr w:rsidR="001B5838" w14:paraId="335ED284" w14:textId="77777777">
        <w:trPr>
          <w:jc w:val="center"/>
        </w:trPr>
        <w:tc>
          <w:tcPr>
            <w:tcW w:w="680" w:type="dxa"/>
          </w:tcPr>
          <w:p w14:paraId="1F12E647" w14:textId="77777777" w:rsidR="001B5838" w:rsidRDefault="00000000">
            <w:r>
              <w:rPr>
                <w:sz w:val="19"/>
              </w:rPr>
              <w:t>1</w:t>
            </w:r>
          </w:p>
        </w:tc>
        <w:tc>
          <w:tcPr>
            <w:tcW w:w="3572" w:type="dxa"/>
          </w:tcPr>
          <w:p w14:paraId="3318E186" w14:textId="77777777" w:rsidR="001B5838" w:rsidRDefault="00000000">
            <w:r>
              <w:rPr>
                <w:sz w:val="19"/>
              </w:rPr>
              <w:t>Cobranza → bitácora CRM de un crédito</w:t>
            </w:r>
          </w:p>
        </w:tc>
        <w:tc>
          <w:tcPr>
            <w:tcW w:w="5102" w:type="dxa"/>
          </w:tcPr>
          <w:p w14:paraId="5C90A034" w14:textId="77777777" w:rsidR="001B5838" w:rsidRDefault="00000000">
            <w:r>
              <w:rPr>
                <w:sz w:val="19"/>
              </w:rPr>
              <w:t>La línea de tiempo con gestiones automáticas y humanas mezcladas.</w:t>
            </w:r>
          </w:p>
        </w:tc>
      </w:tr>
      <w:tr w:rsidR="001B5838" w14:paraId="7254F442" w14:textId="77777777">
        <w:trPr>
          <w:jc w:val="center"/>
        </w:trPr>
        <w:tc>
          <w:tcPr>
            <w:tcW w:w="680" w:type="dxa"/>
          </w:tcPr>
          <w:p w14:paraId="57BEF3CF" w14:textId="77777777" w:rsidR="001B5838" w:rsidRDefault="00000000">
            <w:r>
              <w:rPr>
                <w:sz w:val="19"/>
              </w:rPr>
              <w:t>2</w:t>
            </w:r>
          </w:p>
        </w:tc>
        <w:tc>
          <w:tcPr>
            <w:tcW w:w="3572" w:type="dxa"/>
          </w:tcPr>
          <w:p w14:paraId="539C2E94" w14:textId="77777777" w:rsidR="001B5838" w:rsidRDefault="00000000">
            <w:r>
              <w:rPr>
                <w:sz w:val="19"/>
              </w:rPr>
              <w:t>Cobranza → Pre-judicial</w:t>
            </w:r>
          </w:p>
        </w:tc>
        <w:tc>
          <w:tcPr>
            <w:tcW w:w="5102" w:type="dxa"/>
          </w:tcPr>
          <w:p w14:paraId="29B3D090" w14:textId="77777777" w:rsidR="001B5838" w:rsidRDefault="00000000">
            <w:r>
              <w:rPr>
                <w:sz w:val="19"/>
              </w:rPr>
              <w:t>La bandeja de casos con atraso y compromisos visibles.</w:t>
            </w:r>
          </w:p>
        </w:tc>
      </w:tr>
      <w:tr w:rsidR="001B5838" w14:paraId="1BF7449D" w14:textId="77777777">
        <w:trPr>
          <w:jc w:val="center"/>
        </w:trPr>
        <w:tc>
          <w:tcPr>
            <w:tcW w:w="680" w:type="dxa"/>
          </w:tcPr>
          <w:p w14:paraId="402B80E9" w14:textId="77777777" w:rsidR="001B5838" w:rsidRDefault="00000000">
            <w:r>
              <w:rPr>
                <w:sz w:val="19"/>
              </w:rPr>
              <w:t>3</w:t>
            </w:r>
          </w:p>
        </w:tc>
        <w:tc>
          <w:tcPr>
            <w:tcW w:w="3572" w:type="dxa"/>
          </w:tcPr>
          <w:p w14:paraId="5FFD4B13" w14:textId="77777777" w:rsidR="001B5838" w:rsidRDefault="00000000">
            <w:r>
              <w:rPr>
                <w:sz w:val="19"/>
              </w:rPr>
              <w:t>Cobranza → Judicial</w:t>
            </w:r>
          </w:p>
        </w:tc>
        <w:tc>
          <w:tcPr>
            <w:tcW w:w="5102" w:type="dxa"/>
          </w:tcPr>
          <w:p w14:paraId="13360F57" w14:textId="77777777" w:rsidR="001B5838" w:rsidRDefault="00000000">
            <w:r>
              <w:rPr>
                <w:sz w:val="19"/>
              </w:rPr>
              <w:t>Una causa con su tribunal, abogado y etapa procesal.</w:t>
            </w:r>
          </w:p>
        </w:tc>
      </w:tr>
      <w:tr w:rsidR="001B5838" w14:paraId="06C465D2" w14:textId="77777777">
        <w:trPr>
          <w:jc w:val="center"/>
        </w:trPr>
        <w:tc>
          <w:tcPr>
            <w:tcW w:w="680" w:type="dxa"/>
          </w:tcPr>
          <w:p w14:paraId="781003DD" w14:textId="77777777" w:rsidR="001B5838" w:rsidRDefault="00000000">
            <w:r>
              <w:rPr>
                <w:sz w:val="19"/>
              </w:rPr>
              <w:t>4</w:t>
            </w:r>
          </w:p>
        </w:tc>
        <w:tc>
          <w:tcPr>
            <w:tcW w:w="3572" w:type="dxa"/>
          </w:tcPr>
          <w:p w14:paraId="19712468" w14:textId="77777777" w:rsidR="001B5838" w:rsidRDefault="00000000">
            <w:r>
              <w:rPr>
                <w:sz w:val="19"/>
              </w:rPr>
              <w:t>Castigos</w:t>
            </w:r>
          </w:p>
        </w:tc>
        <w:tc>
          <w:tcPr>
            <w:tcW w:w="5102" w:type="dxa"/>
          </w:tcPr>
          <w:p w14:paraId="248E6BA5" w14:textId="77777777" w:rsidR="001B5838" w:rsidRDefault="00000000">
            <w:r>
              <w:rPr>
                <w:sz w:val="19"/>
              </w:rPr>
              <w:t>Una solicitud de castigo con sus dos firmas.</w:t>
            </w:r>
          </w:p>
        </w:tc>
      </w:tr>
    </w:tbl>
    <w:p w14:paraId="3782EAB4" w14:textId="77777777" w:rsidR="001B5838" w:rsidRDefault="001B5838">
      <w:pPr>
        <w:spacing w:after="40"/>
      </w:pPr>
    </w:p>
    <w:sectPr w:rsidR="001B5838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2868002">
    <w:abstractNumId w:val="8"/>
  </w:num>
  <w:num w:numId="2" w16cid:durableId="2142070429">
    <w:abstractNumId w:val="6"/>
  </w:num>
  <w:num w:numId="3" w16cid:durableId="44961331">
    <w:abstractNumId w:val="5"/>
  </w:num>
  <w:num w:numId="4" w16cid:durableId="1983734531">
    <w:abstractNumId w:val="4"/>
  </w:num>
  <w:num w:numId="5" w16cid:durableId="1837917041">
    <w:abstractNumId w:val="7"/>
  </w:num>
  <w:num w:numId="6" w16cid:durableId="1579750052">
    <w:abstractNumId w:val="3"/>
  </w:num>
  <w:num w:numId="7" w16cid:durableId="821584356">
    <w:abstractNumId w:val="2"/>
  </w:num>
  <w:num w:numId="8" w16cid:durableId="587931687">
    <w:abstractNumId w:val="1"/>
  </w:num>
  <w:num w:numId="9" w16cid:durableId="406925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55AA"/>
    <w:rsid w:val="001B5838"/>
    <w:rsid w:val="0029639D"/>
    <w:rsid w:val="00326F90"/>
    <w:rsid w:val="00AA1D8D"/>
    <w:rsid w:val="00B47730"/>
    <w:rsid w:val="00BB6FF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9E1741E"/>
  <w14:defaultImageDpi w14:val="300"/>
  <w15:docId w15:val="{B00A122D-0C75-4DF8-9087-1C2382821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121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bCs/>
      <w:color w:val="012D70"/>
      <w:sz w:val="4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0141A2"/>
      <w:sz w:val="3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012D70"/>
      <w:sz w:val="2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BB6FF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B6FF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B6FF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1574</Words>
  <Characters>8663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Patricio Escobar</cp:lastModifiedBy>
  <cp:revision>2</cp:revision>
  <dcterms:created xsi:type="dcterms:W3CDTF">2013-12-23T23:15:00Z</dcterms:created>
  <dcterms:modified xsi:type="dcterms:W3CDTF">2026-08-18T01:59:00Z</dcterms:modified>
  <cp:category/>
</cp:coreProperties>
</file>