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1015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b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015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</w:pPr>
    </w:p>
    <w:p>
      <w:pPr>
        <w:jc w:val="center"/>
      </w:pPr>
      <w:r>
        <w:rPr>
          <w:b/>
          <w:i w:val="0"/>
          <w:color w:val="012D70"/>
          <w:sz w:val="60"/>
        </w:rPr>
        <w:t>MANUAL DE COBRANZA</w:t>
      </w:r>
    </w:p>
    <w:p>
      <w:pPr>
        <w:jc w:val="center"/>
      </w:pPr>
      <w:r>
        <w:rPr>
          <w:b w:val="0"/>
          <w:i w:val="0"/>
          <w:color w:val="0141A2"/>
          <w:sz w:val="32"/>
        </w:rPr>
        <w:t>AutoFácil Business Suite</w:t>
      </w:r>
    </w:p>
    <w:p>
      <w:pPr>
        <w:spacing w:after="600"/>
      </w:pPr>
    </w:p>
    <w:p>
      <w:pPr>
        <w:jc w:val="center"/>
      </w:pPr>
      <w:r>
        <w:rPr>
          <w:b w:val="0"/>
          <w:i w:val="0"/>
          <w:color w:val="475569"/>
          <w:sz w:val="24"/>
        </w:rPr>
        <w:t>De la mora temprana al castigo:</w:t>
      </w:r>
    </w:p>
    <w:p>
      <w:pPr>
        <w:jc w:val="center"/>
      </w:pPr>
      <w:r>
        <w:rPr>
          <w:b w:val="0"/>
          <w:i w:val="0"/>
          <w:color w:val="475569"/>
          <w:sz w:val="24"/>
        </w:rPr>
        <w:t>recuperar la cartera cumpliendo la ley, con cada gestión trazada.</w:t>
      </w:r>
    </w:p>
    <w:p/>
    <w:p/>
    <w:p/>
    <w:p/>
    <w:p/>
    <w:p/>
    <w:p>
      <w:pPr>
        <w:jc w:val="center"/>
      </w:pPr>
      <w:r>
        <w:rPr>
          <w:b w:val="0"/>
          <w:i w:val="0"/>
          <w:color w:val="9AA0A6"/>
          <w:sz w:val="22"/>
        </w:rPr>
        <w:t>Versión 2.0 · Agosto 2026</w:t>
      </w:r>
    </w:p>
    <w:p>
      <w:pPr>
        <w:jc w:val="center"/>
      </w:pPr>
      <w:r>
        <w:rPr>
          <w:b w:val="0"/>
          <w:i w:val="0"/>
          <w:color w:val="9AA0A6"/>
          <w:sz w:val="20"/>
        </w:rPr>
        <w:t>Documento interno — AutoFácil Crédito Automotriz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247"/>
            <w:shd w:val="clear" w:fill="012D70"/>
          </w:tcPr>
          <w:p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1814"/>
            <w:shd w:val="clear" w:fill="012D70"/>
          </w:tcPr>
          <w:p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268"/>
            <w:shd w:val="clear" w:fill="012D70"/>
          </w:tcPr>
          <w:p>
            <w:r>
              <w:rPr>
                <w:b/>
                <w:color w:val="FFFFFF"/>
                <w:sz w:val="19"/>
              </w:rPr>
              <w:t>Autor</w:t>
            </w:r>
          </w:p>
        </w:tc>
        <w:tc>
          <w:tcPr>
            <w:tcW w:type="dxa" w:w="4025"/>
            <w:shd w:val="clear" w:fill="012D70"/>
          </w:tcPr>
          <w:p>
            <w:r>
              <w:rPr>
                <w:b/>
                <w:color w:val="FFFFFF"/>
                <w:sz w:val="19"/>
              </w:rPr>
              <w:t>Cambios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1.0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Agosto 2026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Business Suite</w:t>
            </w:r>
          </w:p>
        </w:tc>
        <w:tc>
          <w:tcPr>
            <w:tcW w:type="dxa" w:w="4025"/>
          </w:tcPr>
          <w:p>
            <w:r>
              <w:rPr>
                <w:sz w:val="19"/>
              </w:rPr>
              <w:t>Emisión inicial del tomo Cobranza</w:t>
            </w:r>
          </w:p>
        </w:tc>
      </w:tr>
      <w:tr>
        <w:tc>
          <w:tcPr>
            <w:tcW w:type="dxa" w:w="1247"/>
          </w:tcPr>
          <w:p>
            <w:r>
              <w:rPr>
                <w:sz w:val="19"/>
              </w:rPr>
              <w:t>2.0</w:t>
            </w:r>
          </w:p>
        </w:tc>
        <w:tc>
          <w:tcPr>
            <w:tcW w:type="dxa" w:w="1814"/>
          </w:tcPr>
          <w:p>
            <w:r>
              <w:rPr>
                <w:sz w:val="19"/>
              </w:rPr>
              <w:t>Agosto 2026</w:t>
            </w:r>
          </w:p>
        </w:tc>
        <w:tc>
          <w:tcPr>
            <w:tcW w:type="dxa" w:w="2268"/>
          </w:tcPr>
          <w:p>
            <w:r>
              <w:rPr>
                <w:sz w:val="19"/>
              </w:rPr>
              <w:t>Business Suite</w:t>
            </w:r>
          </w:p>
        </w:tc>
        <w:tc>
          <w:tcPr>
            <w:tcW w:type="dxa" w:w="4025"/>
          </w:tcPr>
          <w:p>
            <w:r>
              <w:rPr>
                <w:sz w:val="19"/>
              </w:rPr>
              <w:t>Gestión manual con visita en terreno / visita del cliente; bitácora exportable (Excel e informe PDF); capítulos nuevos de gastos e interés de mora, provisiones en detalle, contabilización e informes; judicial ampliado con catálogos de abogados</w:t>
            </w:r>
          </w:p>
        </w:tc>
      </w:tr>
    </w:tbl>
    <w:p>
      <w:pPr>
        <w:spacing w:after="40"/>
      </w:pPr>
    </w:p>
    <w:p>
      <w:pPr>
        <w:pStyle w:val="Heading2"/>
      </w:pPr>
      <w:r>
        <w:t>Cómo usar este manual</w:t>
      </w:r>
    </w:p>
    <w:p>
      <w:r>
        <w:rPr>
          <w:b w:val="0"/>
          <w:i w:val="0"/>
        </w:rPr>
        <w:t>Cada capítulo: para qué existe el proceso, quién lo hace, prerequisitos, paso a paso y los recuadros ⚠ OJO / 🔒 Regla del sistema / 🧾 Caso real / 📸 CAPTURA (pendientes en esta versión). Las rutas se escriben "Módulo → Card".</w:t>
      </w:r>
    </w:p>
    <w:p>
      <w:r>
        <w:br w:type="page"/>
      </w:r>
    </w:p>
    <w:p>
      <w:pPr>
        <w:pStyle w:val="Heading1"/>
      </w:pPr>
      <w:r>
        <w:t>Índice</w:t>
      </w:r>
    </w:p>
    <w:p>
      <w:fldSimple w:instr="TOC \o &quot;1-2&quot; \h \z \u">
        <w:r>
          <w:t>Índice — clic derecho → Actualizar campos</w:t>
        </w:r>
      </w:fldSimple>
    </w:p>
    <w:p>
      <w:r>
        <w:br w:type="page"/>
      </w:r>
    </w:p>
    <w:p>
      <w:pPr>
        <w:pStyle w:val="Heading1"/>
      </w:pPr>
      <w:r>
        <w:t>1. El marco: estados, motores y ley</w:t>
      </w:r>
    </w:p>
    <w:p>
      <w:r>
        <w:rPr>
          <w:b w:val="0"/>
          <w:i w:val="0"/>
        </w:rPr>
        <w:t>La cobranza trabaja sobre la cartera propia, con dos coordenadas por crédito: la ETAPA (OTORGADO — no cambia por la mora) y el ESTADO DE CARTERA, que describe el pago:</w:t>
      </w:r>
    </w:p>
    <w:p>
      <w:pPr>
        <w:spacing w:before="120" w:after="120"/>
        <w:jc w:val="center"/>
      </w:pPr>
      <w:r>
        <w:rPr>
          <w:b/>
          <w:i w:val="0"/>
          <w:color w:val="0141A2"/>
          <w:sz w:val="21"/>
        </w:rPr>
        <w:t>VIGENTE → EN MORA → VENCIDO → JUDICIAL → CASTIGADO · AL DÍA</w:t>
      </w:r>
    </w:p>
    <w:p>
      <w:r>
        <w:rPr>
          <w:b w:val="0"/>
          <w:i w:val="0"/>
        </w:rPr>
        <w:t>Los estados de cartera y sus transiciones son paramétricos (mantenedor Estado Cartera). Confundir etapa con estado de cartera es el error conceptual más común: un crédito EN MORA sigue siendo, en etapa, OTORGADO.</w:t>
      </w:r>
    </w:p>
    <w:p>
      <w:pPr>
        <w:pStyle w:val="Heading2"/>
      </w:pPr>
      <w:r>
        <w:t>1.1 Los motores únicos</w:t>
      </w:r>
    </w:p>
    <w:p>
      <w:pPr>
        <w:pStyle w:val="ListBullet"/>
      </w:pPr>
      <w:r>
        <w:rPr>
          <w:b/>
        </w:rPr>
        <w:t xml:space="preserve">Interés por mora: </w:t>
      </w:r>
      <w:r>
        <w:t>la tasa de mora queda FIJA al otorgamiento (TMC de ese momento, según el modo configurado). El interés de mora que muestra la caja, el portal del cliente, el certificado y esta área es EL MISMO: sale de un solo motor.</w:t>
      </w:r>
    </w:p>
    <w:p>
      <w:pPr>
        <w:pStyle w:val="ListBullet"/>
      </w:pPr>
      <w:r>
        <w:rPr>
          <w:b/>
        </w:rPr>
        <w:t xml:space="preserve">Gastos de cobranza: </w:t>
      </w:r>
      <w:r>
        <w:t>corren recién desde el día 21 de atraso, según los tramos de Parámetros de Cobranza (ver cap. 5).</w:t>
      </w:r>
    </w:p>
    <w:p>
      <w:pPr>
        <w:pStyle w:val="ListBullet"/>
      </w:pPr>
      <w:r>
        <w:rPr>
          <w:b/>
        </w:rPr>
        <w:t xml:space="preserve">El calendario: </w:t>
      </w:r>
      <w:r>
        <w:t>los valores del crédito quedaron congelados al otorgar; el calendario de cuotas es inmutable.</w:t>
      </w:r>
    </w:p>
    <w:p>
      <w:pPr>
        <w:pStyle w:val="ListBullet"/>
      </w:pPr>
      <w:r>
        <w:rPr>
          <w:b/>
        </w:rPr>
        <w:t xml:space="preserve">El universo: </w:t>
      </w:r>
      <w:r>
        <w:t>el universo "en mora" que ven la Segmentación por Tramos, Pre-judicial, las automatizaciones y el Dashboard de Cobranza sale de la MISMA consulta (motor MORA_SQL): imposible que dos pantallas muestren carteras distintas.</w:t>
      </w:r>
    </w:p>
    <w:p>
      <w:pPr>
        <w:pStyle w:val="Heading2"/>
      </w:pPr>
      <w:r>
        <w:t>1.2 La ley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Ley 21.320 y Ley del Consumidor: por semana calendario, 1 gestión telefónica o presencial y 2 gestiones remotas (WhatsApp/SMS/Email) separadas por al menos 2 días. El tope está BLOQUEADO por el sistema — el panel de cada crédito muestra la disponibilidad de la semana antes de gestionar. Además rigen horarios permitidos y el registro de cada contacto: lo que no está en la bitácora no existió.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2. Mora temprana: los motores automáticos</w:t>
      </w:r>
    </w:p>
    <w:p>
      <w:r>
        <w:rPr>
          <w:b w:val="0"/>
          <w:i w:val="0"/>
        </w:rPr>
        <w:t>En los primeros tramos de atraso el sistema gestiona solo: correo por tramo y secuencia de WhatsApp, cada envío registrado en la bitácora CRM del crédito. El analista entra cuando la automatización no alcanza.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Cobranza → Automatizaciones · Mantenedores → Parámetros de Cobranza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Los motores automáticos (correo y WhatsApp) · el Analista de Cobranza supervisa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Configuración en Parámetros de Cobranza y Mantenedores → Correos Programados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Automatizaciones activadas · tramos y plantillas configurados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 xml:space="preserve">Correo por tramo: </w:t>
      </w:r>
      <w:r>
        <w:t>cada tramo de atraso tiene su plantilla y su momento. Se apagan y prenden por parámetro, sin tocar código.</w:t>
      </w:r>
    </w:p>
    <w:p>
      <w:pPr>
        <w:pStyle w:val="ListBullet"/>
      </w:pPr>
      <w:r>
        <w:rPr>
          <w:b/>
        </w:rPr>
        <w:t xml:space="preserve">WhatsApp: </w:t>
      </w:r>
      <w:r>
        <w:t>secuencia de plantillas aprobadas por Meta, en orden (1°, 2°, 3° aviso…). A quiénes: filtro configurable por tramo de días de mora y monto mínimo. Respeta el cupo semanal legal y el horario permitido.</w:t>
      </w:r>
    </w:p>
    <w:p>
      <w:pPr>
        <w:pStyle w:val="ListBullet"/>
      </w:pPr>
      <w:r>
        <w:rPr>
          <w:b/>
        </w:rPr>
        <w:t xml:space="preserve">Variables: </w:t>
      </w:r>
      <w:r>
        <w:t>cada {{n}} de la plantilla se mapea a un campo del crédito: nombre, RUT, días de mora, cuotas en mora, monto en mora, saldo insoluto, N° de operación, y los datos de la CUOTA impaga más antigua (N° de cuota, día de vencimiento y monto de la cuota).</w:t>
      </w:r>
    </w:p>
    <w:p>
      <w:pPr>
        <w:pStyle w:val="ListBullet"/>
      </w:pPr>
      <w:r>
        <w:rPr>
          <w:b/>
        </w:rPr>
        <w:t xml:space="preserve">Trazabilidad: </w:t>
      </w:r>
      <w:r>
        <w:t>todo envío queda en la bitácora CRM del crédito, visible para cualquier analista que tome el caso.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1 · Cobranza → bitácora CRM de un crédito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La línea de tiempo con gestiones automáticas y humanas mezcladas.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El tope semanal de gestiones está bloqueado por sistema: si un contacto más viola el tope, el sistema no lo deja salir. No es optativo. Los motores automáticos también lo respetan: nunca compiten con la gestión humana por el cupo.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Cobranza pre-judicial: la gestión humana</w:t>
      </w:r>
    </w:p>
    <w:p>
      <w:r>
        <w:rPr>
          <w:b w:val="0"/>
          <w:i w:val="0"/>
        </w:rPr>
        <w:t>Cuando la mora avanza, la gestión pasa a ser humana: llamadas, visitas y compromisos de pago, todos registrados.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Cobranza → Pre-judicial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Analista de Cobranza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Acceso a Cobranza → Pre-judicial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Crédito en mora fuera del tramo temprano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012D70"/>
        </w:rPr>
        <w:t>Paso 1 — Tomar el caso</w:t>
      </w:r>
    </w:p>
    <w:p>
      <w:pPr>
        <w:ind w:left="340"/>
      </w:pPr>
      <w:r>
        <w:t>La bandeja segmenta la cartera por tramos (1–15, 16–30, 31–60, 61–90 días) con atraso, saldo y última gestión. Al abrir un crédito, el panel muestra la mora al día, el contacto del cliente y la DISPONIBILIDAD legal de la semana.</w:t>
      </w:r>
    </w:p>
    <w:p>
      <w:pPr>
        <w:spacing w:before="160" w:after="40"/>
      </w:pPr>
      <w:r>
        <w:rPr>
          <w:b/>
          <w:color w:val="012D70"/>
        </w:rPr>
        <w:t>Paso 2 — Registrar la gestión manual</w:t>
      </w:r>
    </w:p>
    <w:p>
      <w:pPr>
        <w:ind w:left="340"/>
      </w:pPr>
      <w:r>
        <w:t>Botón "Registrar Llamada/Visita": elegir el tipo — Llamada telefónica, Visita en terreno o Visita del cliente (en oficina) — y el resultado (contactado, no contesta, promesa de pago, rechaza pago, número errado). Las notas y la promesa (fecha + monto) quedan en la misma gestión.</w:t>
      </w:r>
    </w:p>
    <w:p>
      <w:pPr>
        <w:spacing w:before="160" w:after="40"/>
      </w:pPr>
      <w:r>
        <w:rPr>
          <w:b/>
          <w:color w:val="012D70"/>
        </w:rPr>
        <w:t>Paso 3 — Gestiones remotas</w:t>
      </w:r>
    </w:p>
    <w:p>
      <w:pPr>
        <w:ind w:left="340"/>
      </w:pPr>
      <w:r>
        <w:t>WhatsApp, SMS o Email desde el mismo panel, con el mensaje de la plantilla de Parámetros de Cobranza. Al confirmar el envío, la gestión se registra y consume cupo remoto.</w:t>
      </w:r>
    </w:p>
    <w:p>
      <w:pPr>
        <w:spacing w:before="160" w:after="40"/>
      </w:pPr>
      <w:r>
        <w:rPr>
          <w:b/>
          <w:color w:val="012D70"/>
        </w:rPr>
        <w:t>Paso 4 — Seguir el compromiso</w:t>
      </w:r>
    </w:p>
    <w:p>
      <w:pPr>
        <w:ind w:left="340"/>
      </w:pPr>
      <w:r>
        <w:t>Un compromiso cumplido normaliza; uno incumplido escala la gestión.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2 · Cobranza → Pre-judicial → panel de un crédito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El formulario de gestión manual con los tres tipos y la disponibilidad semanal.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Herramientas de apoyo: la PWA de Terreno (ruta del día, check-in GPS y fotos) para las visitas, y el Score de Mora (mora histórica por segmento) para priorizar la cartera.</w:t>
      </w:r>
    </w:p>
    <w:p>
      <w:pPr>
        <w:pStyle w:val="Heading2"/>
      </w:pPr>
      <w:r>
        <w:t>3.1 La bitácora y sus exportaciones</w:t>
      </w:r>
    </w:p>
    <w:p>
      <w:r>
        <w:rPr>
          <w:b w:val="0"/>
          <w:i w:val="0"/>
        </w:rPr>
        <w:t>La pestaña Bitácora del crédito muestra TODAS las gestiones — automáticas y humanas — en orden, con tipo, canal, resultado, gestor y notas. Desde ahí:</w:t>
      </w:r>
    </w:p>
    <w:p>
      <w:pPr>
        <w:pStyle w:val="ListBullet"/>
      </w:pPr>
      <w:r>
        <w:rPr>
          <w:b/>
        </w:rPr>
        <w:t xml:space="preserve">Exportar Excel: </w:t>
      </w:r>
      <w:r>
        <w:t>descarga las gestiones del crédito en planilla (fecha, tipo, canal, resultado, gestor, notas y promesas).</w:t>
      </w:r>
    </w:p>
    <w:p>
      <w:pPr>
        <w:pStyle w:val="ListBullet"/>
      </w:pPr>
      <w:r>
        <w:rPr>
          <w:b/>
        </w:rPr>
        <w:t xml:space="preserve">Informe PDF de gestiones: </w:t>
      </w:r>
      <w:r>
        <w:t>genera el informe formal con la ficha del deudor (cliente, RUT, mora, saldo) y la tabla completa de gestiones — el documento que se adjunta a una carpeta judicial o se envía a un estudio de abogados.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3 · Pre-judicial → Bitácora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Los botones Excel e Informe PDF sobre la línea de tiempo.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Cobranza judicial y estudios de abogados</w:t>
      </w:r>
    </w:p>
    <w:p>
      <w:r>
        <w:rPr>
          <w:b w:val="0"/>
          <w:i w:val="0"/>
        </w:rPr>
        <w:t>La demanda con abogado, tribunal y etapa procesal. La ficha judicial congela un SNAPSHOT financiero del crédito al entrar (deuda, cuotas, saldo), y encima registra el avance procesal: abogado, status legal, status del crédito, juzgado, rol y comentarios.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Cobranza → Judicial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Analista de Cobranza · abogados y estudios externos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Acceso a Cobranza → Judicial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Decisión de demandar tomada · antecedentes del crédito completos</w:t>
            </w:r>
          </w:p>
        </w:tc>
      </w:tr>
    </w:tbl>
    <w:p>
      <w:pPr>
        <w:spacing w:after="40"/>
      </w:pPr>
    </w:p>
    <w:p>
      <w:pPr>
        <w:spacing w:before="160" w:after="40"/>
      </w:pPr>
      <w:r>
        <w:rPr>
          <w:b/>
          <w:color w:val="012D70"/>
        </w:rPr>
        <w:t>Paso 1 — Abrir la causa</w:t>
      </w:r>
    </w:p>
    <w:p>
      <w:pPr>
        <w:ind w:left="340"/>
      </w:pPr>
      <w:r>
        <w:t>Crédito, abogado (del catálogo), juzgado, rol y status inicial.</w:t>
      </w:r>
    </w:p>
    <w:p>
      <w:pPr>
        <w:spacing w:before="160" w:after="40"/>
      </w:pPr>
      <w:r>
        <w:rPr>
          <w:b/>
          <w:color w:val="012D70"/>
        </w:rPr>
        <w:t>Paso 2 — Actualizar el avance</w:t>
      </w:r>
    </w:p>
    <w:p>
      <w:pPr>
        <w:ind w:left="340"/>
      </w:pPr>
      <w:r>
        <w:t>Cada cambio de status legal o del crédito se registra; la historia completa queda en la causa. La cartera judicial se filtra por abogado y por status.</w:t>
      </w:r>
    </w:p>
    <w:p>
      <w:pPr>
        <w:spacing w:before="160" w:after="40"/>
      </w:pPr>
      <w:r>
        <w:rPr>
          <w:b/>
          <w:color w:val="012D70"/>
        </w:rPr>
        <w:t>Paso 3 — Adjuntar el respaldo</w:t>
      </w:r>
    </w:p>
    <w:p>
      <w:pPr>
        <w:ind w:left="340"/>
      </w:pPr>
      <w:r>
        <w:t>El pagaré y los antecedentes quedan referenciados en la ficha; el Informe PDF de gestiones (cap. 3.1) acredita la gestión pre-judicial realizada.</w:t>
      </w:r>
    </w:p>
    <w:p>
      <w:pPr>
        <w:pStyle w:val="Heading2"/>
      </w:pPr>
      <w:r>
        <w:t>4.1 Los catálogos son paramétricos</w:t>
      </w:r>
    </w:p>
    <w:p>
      <w:r>
        <w:rPr>
          <w:b w:val="0"/>
          <w:i w:val="0"/>
        </w:rPr>
        <w:t>En Mantenedores → Cobranza Judicial se administran los catálogos que alimentan la ficha: ABOGADOS (los estudios y profesionales con que trabaja la empresa), STATUS LEGAL (etapas procesales) y STATUS DEL CRÉDITO. Agregar un estudio de abogados nuevo es agregar una fila ahí — sin programador.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4 · Mantenedores → Cobranza Judicial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Los tres catálogos y la cartera judicial filtrable por abogado.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Un crédito en cobranza judicial sigue devengando su interés de mora por el motor único. El snapshot de la ficha es la foto de ENTRADA a judicial; la deuda viva se consulta siempre en el sistema.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Gastos de cobranza e interés de mora</w:t>
      </w:r>
    </w:p>
    <w:p>
      <w:r>
        <w:rPr>
          <w:b w:val="0"/>
          <w:i w:val="0"/>
        </w:rPr>
        <w:t>Los dos recargos del atraso, ambos de motor único y ambos paramétricos:</w:t>
      </w:r>
    </w:p>
    <w:p>
      <w:pPr>
        <w:pStyle w:val="Heading2"/>
      </w:pPr>
      <w:r>
        <w:t>5.1 Interés por mora</w:t>
      </w:r>
    </w:p>
    <w:p>
      <w:pPr>
        <w:pStyle w:val="ListBullet"/>
      </w:pPr>
      <w:r>
        <w:rPr>
          <w:b/>
        </w:rPr>
        <w:t xml:space="preserve">Tasa fija: </w:t>
      </w:r>
      <w:r>
        <w:t>la tasa aplicable (TMC) queda fija al OTORGAMIENTO del crédito, según el modo configurado — no cambia aunque la TMC vigente suba o baje después.</w:t>
      </w:r>
    </w:p>
    <w:p>
      <w:pPr>
        <w:pStyle w:val="ListBullet"/>
      </w:pPr>
      <w:r>
        <w:rPr>
          <w:b/>
        </w:rPr>
        <w:t xml:space="preserve">Devengo: </w:t>
      </w:r>
      <w:r>
        <w:t>se calcula por cuota vencida, por los días efectivos de atraso.</w:t>
      </w:r>
    </w:p>
    <w:p>
      <w:pPr>
        <w:pStyle w:val="Heading2"/>
      </w:pPr>
      <w:r>
        <w:t>5.2 Gastos de cobranza (Ley 19.496)</w:t>
      </w:r>
    </w:p>
    <w:p>
      <w:pPr>
        <w:pStyle w:val="ListBullet"/>
      </w:pPr>
      <w:r>
        <w:rPr>
          <w:b/>
        </w:rPr>
        <w:t xml:space="preserve">Cuándo: </w:t>
      </w:r>
      <w:r>
        <w:t>solo después de 20 días corridos desde el vencimiento — corren desde el día 21. Antes de eso, cero gasto.</w:t>
      </w:r>
    </w:p>
    <w:p>
      <w:pPr>
        <w:pStyle w:val="ListBullet"/>
      </w:pPr>
      <w:r>
        <w:rPr>
          <w:b/>
        </w:rPr>
        <w:t xml:space="preserve">Cuánto: </w:t>
      </w:r>
      <w:r>
        <w:t>tramos MARGINALES sobre la deuda en UF: hasta 10 UF → 9% · entre 10 y 50 UF → 6% · sobre 50 UF → 3%. Los tramos y porcentajes viven en Mantenedores → Parámetros de Cobranza.</w:t>
      </w:r>
    </w:p>
    <w:p>
      <w:pPr>
        <w:pStyle w:val="ListBullet"/>
      </w:pPr>
      <w:r>
        <w:rPr>
          <w:b/>
        </w:rPr>
        <w:t xml:space="preserve">Dónde se ve: </w:t>
      </w:r>
      <w:r>
        <w:t>caja, portal del cliente, certificados y prepago muestran el mismo gasto, porque lo calcula el mismo motor por cuota al día D.</w:t>
      </w:r>
    </w:p>
    <w:p>
      <w:pPr>
        <w:pStyle w:val="Heading2"/>
      </w:pPr>
      <w:r>
        <w:t>5.3 Condonación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El orden de condonación es fijo y está protegido en el servidor: primero GASTOS, luego INTERESES; el CAPITAL nunca se condona. Los descuentos negociados van por Aplicación de Fondos, con su cadena de firmas.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6. Provisiones: el riesgo reconocido mes a mes</w:t>
      </w:r>
    </w:p>
    <w:p>
      <w:r>
        <w:rPr>
          <w:b w:val="0"/>
          <w:i w:val="0"/>
        </w:rPr>
        <w:t>Cada tramo de días de mora provisiona un porcentaje del saldo insoluto (paramétrico en Parámetros de Cobranza). La provisión se calcula y contabiliza sola al cierre de cada mes.</w:t>
      </w:r>
    </w:p>
    <w:p>
      <w:pPr>
        <w:pStyle w:val="ListBullet"/>
      </w:pPr>
      <w:r>
        <w:rPr>
          <w:b/>
        </w:rPr>
        <w:t xml:space="preserve">Cierre automático: </w:t>
      </w:r>
      <w:r>
        <w:t>al día configurado del mes (paramétrico), el motor recorre la cartera, clasifica cada crédito en su tramo y calcula su provisión. No requiere que nadie lo ejecute.</w:t>
      </w:r>
    </w:p>
    <w:p>
      <w:pPr>
        <w:pStyle w:val="ListBullet"/>
      </w:pPr>
      <w:r>
        <w:rPr>
          <w:b/>
        </w:rPr>
        <w:t xml:space="preserve">Detalle: </w:t>
      </w:r>
      <w:r>
        <w:t>queda el detalle auditable crédito a crédito: días de mora, tramo, porcentaje y provisión — el respaldo que pide un auditor.</w:t>
      </w:r>
    </w:p>
    <w:p>
      <w:pPr>
        <w:pStyle w:val="ListBullet"/>
      </w:pPr>
      <w:r>
        <w:rPr>
          <w:b/>
        </w:rPr>
        <w:t xml:space="preserve">Contabilización: </w:t>
      </w:r>
      <w:r>
        <w:t>el asiento va por la VARIACIÓN mensual: si la cartera se deterioró se constituye provisión (PROVISION_CIERRE); si tu gestión normalizó créditos, se libera (PROVISION_LIBERACION). Idempotente por mes.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ECFDF5"/>
          </w:tcPr>
          <w:p>
            <w:r>
              <w:rPr>
                <w:b/>
                <w:color w:val="15803D"/>
                <w:sz w:val="21"/>
              </w:rPr>
              <w:t>🧾 Caso real</w:t>
            </w:r>
          </w:p>
          <w:p>
            <w:pPr>
              <w:spacing w:after="40"/>
            </w:pPr>
            <w:r>
              <w:rPr>
                <w:sz w:val="21"/>
              </w:rPr>
              <w:t>Un analista normaliza en agosto un crédito que venía con 45 días de mora. En el cierre de agosto ese crédito baja de tramo: la diferencia de provisión se LIBERA y mejora el resultado del mes. La gestión de cobranza se ve directamente en el estado de resultados.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7. Castigo y recupero</w:t>
      </w:r>
    </w:p>
    <w:p>
      <w:r>
        <w:rPr>
          <w:b w:val="0"/>
          <w:i w:val="0"/>
        </w:rPr>
        <w:t>La baja contable de la operación incobrable. Es la última estación y es deliberadamente manual.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Pantalla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Tesorería → Provisiones + Castigos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Quién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Gerencia — doble firma gerencial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Permisos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Atribución de castigo</w:t>
            </w:r>
          </w:p>
        </w:tc>
      </w:tr>
      <w:tr>
        <w:tc>
          <w:tcPr>
            <w:tcW w:type="dxa" w:w="1928"/>
            <w:shd w:val="clear" w:fill="EFF6FF"/>
          </w:tcPr>
          <w:p>
            <w:r>
              <w:rPr>
                <w:b/>
                <w:color w:val="012D70"/>
                <w:sz w:val="20"/>
              </w:rPr>
              <w:t>Prerequisitos</w:t>
            </w:r>
          </w:p>
        </w:tc>
        <w:tc>
          <w:tcPr>
            <w:tcW w:type="dxa" w:w="7427"/>
          </w:tcPr>
          <w:p>
            <w:r>
              <w:rPr>
                <w:sz w:val="20"/>
              </w:rPr>
              <w:t>Gestión agotada · antecedentes de la causa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El castigo NUNCA es automático. Exige doble firma gerencial y genera su asiento contable por regla de centralización. El cierre automático mensual de provisiones no castiga: solo provisiona.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Tras el castigo, el crédito queda CASTIGADO en estado de cartera. La recuperación posterior, si la hay, entra por caja como cualquier pago y genera su asiento de RECUPERO — la historia del crédito nunca se pierde.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1F5F9"/>
          </w:tcPr>
          <w:p>
            <w:pPr>
              <w:jc w:val="center"/>
            </w:pPr>
            <w:r>
              <w:rPr>
                <w:b/>
                <w:color w:val="475569"/>
                <w:sz w:val="20"/>
              </w:rPr>
              <w:t>📸 CAPTURA 5 · Castigos</w:t>
            </w:r>
          </w:p>
          <w:p>
            <w:pPr>
              <w:jc w:val="center"/>
            </w:pPr>
            <w:r>
              <w:rPr>
                <w:i/>
                <w:color w:val="9AA0A6"/>
                <w:sz w:val="18"/>
              </w:rPr>
              <w:t>Una solicitud de castigo con sus dos firmas.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8. Cómo se contabiliza la cobranza</w:t>
      </w:r>
    </w:p>
    <w:p>
      <w:r>
        <w:rPr>
          <w:b w:val="0"/>
          <w:i w:val="0"/>
        </w:rPr>
        <w:t>Máxima del sistema: todo movimiento de dinero genera su asiento, automáticamente, por el motor de centralización y sus reglas paramétricas (Mantenedores → Reglas de Centralización). En cobranza: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shd w:val="clear" w:fill="012D70"/>
          </w:tcPr>
          <w:p>
            <w:r>
              <w:rPr>
                <w:b/>
                <w:color w:val="FFFFFF"/>
                <w:sz w:val="19"/>
              </w:rPr>
              <w:t>Hecho</w:t>
            </w:r>
          </w:p>
        </w:tc>
        <w:tc>
          <w:tcPr>
            <w:tcW w:type="dxa" w:w="6236"/>
            <w:shd w:val="clear" w:fill="012D70"/>
          </w:tcPr>
          <w:p>
            <w:r>
              <w:rPr>
                <w:b/>
                <w:color w:val="FFFFFF"/>
                <w:sz w:val="19"/>
              </w:rPr>
              <w:t>Qué se contabiliza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Pago de cuota en caja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Ingreso por caja/banco contra la cartera; el interés de mora y los gastos de cobranza van a sus cuentas de ingreso propias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Pago no identificado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Cuentas Transitorias hasta aclarar el pagador; al aplicarse, se reclasifica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Provisión mensual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PROVISION_CIERRE (constitución) o PROVISION_LIBERACION (reverso) por la variación del mes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Castigo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Asiento de baja del incobrable, gatillado por la doble firma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Recupero de castigado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El abono entra por caja y genera su asiento de recupero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Prepago / Aplicación de Fondos</w:t>
            </w:r>
          </w:p>
        </w:tc>
        <w:tc>
          <w:tcPr>
            <w:tcW w:type="dxa" w:w="6236"/>
          </w:tcPr>
          <w:p>
            <w:r>
              <w:rPr>
                <w:sz w:val="19"/>
              </w:rPr>
              <w:t>El pago rebaja cartera; las condonaciones aprobadas se reconocen según su regla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E2E2"/>
          </w:tcPr>
          <w:p>
            <w:r>
              <w:rPr>
                <w:b/>
                <w:color w:val="B91C1C"/>
                <w:sz w:val="21"/>
              </w:rPr>
              <w:t>🔒 Regla del sistema</w:t>
            </w:r>
          </w:p>
          <w:p>
            <w:pPr>
              <w:spacing w:after="40"/>
            </w:pPr>
            <w:r>
              <w:rPr>
                <w:sz w:val="21"/>
              </w:rPr>
              <w:t>El motor contable nunca bloquea la operación: si un evento no tiene regla, el pago sale igual y el evento queda SIN_REGLA en el log contable — esa lista es la deuda pendiente de cablear, visible para Contabilidad.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9. Los informes del área</w:t>
      </w:r>
    </w:p>
    <w:p>
      <w:pPr>
        <w:pStyle w:val="ListBullet"/>
      </w:pPr>
      <w:r>
        <w:rPr>
          <w:b/>
        </w:rPr>
        <w:t xml:space="preserve">Segmentación por tramos: </w:t>
      </w:r>
      <w:r>
        <w:t>la vista por tramos de la cartera en mora (cantidad y monto por tramo), la misma segmentación de Pre-judicial.</w:t>
      </w:r>
    </w:p>
    <w:p>
      <w:pPr>
        <w:pStyle w:val="ListBullet"/>
      </w:pPr>
      <w:r>
        <w:rPr>
          <w:b/>
        </w:rPr>
        <w:t xml:space="preserve">Dashboard: </w:t>
      </w:r>
      <w:r>
        <w:t>mora de la cartera en vivo dentro del Dashboard general y el Cuadro de Mando.</w:t>
      </w:r>
    </w:p>
    <w:p>
      <w:pPr>
        <w:pStyle w:val="ListBullet"/>
      </w:pPr>
      <w:r>
        <w:rPr>
          <w:b/>
        </w:rPr>
        <w:t xml:space="preserve">Informe de gestiones: </w:t>
      </w:r>
      <w:r>
        <w:t>por crédito: Excel de gestiones e Informe PDF formal desde la bitácora (cap. 3.1).</w:t>
      </w:r>
    </w:p>
    <w:p>
      <w:pPr>
        <w:pStyle w:val="ListBullet"/>
      </w:pPr>
      <w:r>
        <w:rPr>
          <w:b/>
        </w:rPr>
        <w:t xml:space="preserve">Score de Mora: </w:t>
      </w:r>
      <w:r>
        <w:t>la mora histórica por segmento que alimenta la política de crédito — la cobranza de hoy es la política de admisión de mañana.</w:t>
      </w:r>
    </w:p>
    <w:p>
      <w:pPr>
        <w:pStyle w:val="ListBullet"/>
      </w:pPr>
      <w:r>
        <w:rPr>
          <w:b/>
        </w:rPr>
        <w:t xml:space="preserve">Diseño de Consulta: </w:t>
      </w:r>
      <w:r>
        <w:t>para cruces a medida (mora por dealer, por ejecutivo, por cosecha), el constructor visual de Reportería → Diseño de Consulta.</w:t>
      </w:r>
    </w:p>
    <w:p>
      <w:pPr>
        <w:pStyle w:val="ListBullet"/>
      </w:pPr>
      <w:r>
        <w:rPr>
          <w:b/>
        </w:rPr>
        <w:t xml:space="preserve">Correo diario: </w:t>
      </w:r>
      <w:r>
        <w:t>el Resumen Ejecutivo Diario (IA) comenta la mora de la cartera cuando amerita alerta.</w:t>
      </w:r>
    </w:p>
    <w:p>
      <w:r>
        <w:br w:type="page"/>
      </w:r>
    </w:p>
    <w:p>
      <w:pPr>
        <w:pStyle w:val="Heading1"/>
      </w:pPr>
      <w:r>
        <w:t>10. Cómo paga el cliente: caja, portal y prepago</w:t>
      </w:r>
    </w:p>
    <w:p>
      <w:r>
        <w:rPr>
          <w:b w:val="0"/>
          <w:i w:val="0"/>
        </w:rPr>
        <w:t>Las vías de normalización que la cobranza debe conocer (el detalle operativo vive en el Manual de Contabilidad y Tesorería):</w:t>
      </w:r>
    </w:p>
    <w:p>
      <w:pPr>
        <w:pStyle w:val="ListBullet"/>
      </w:pPr>
      <w:r>
        <w:rPr>
          <w:b/>
        </w:rPr>
        <w:t xml:space="preserve">Caja (Tesorería → Caja): </w:t>
      </w:r>
      <w:r>
        <w:t>cuotas individuales o en lote, con la mora y gastos del motor único. Comprobante con timbre PAGADO.</w:t>
      </w:r>
    </w:p>
    <w:p>
      <w:pPr>
        <w:pStyle w:val="ListBullet"/>
      </w:pPr>
      <w:r>
        <w:rPr>
          <w:b/>
        </w:rPr>
        <w:t xml:space="preserve">Portal del cliente: </w:t>
      </w:r>
      <w:r>
        <w:t>el cliente entra con RUT + código OTP a /mis-creditos, ve sus cuotas y su mora — los MISMOS valores que la caja, porque es el mismo motor.</w:t>
      </w:r>
    </w:p>
    <w:p>
      <w:pPr>
        <w:pStyle w:val="ListBullet"/>
      </w:pPr>
      <w:r>
        <w:rPr>
          <w:b/>
        </w:rPr>
        <w:t xml:space="preserve">Prepago: </w:t>
      </w:r>
      <w:r>
        <w:t>saldar el crédito completo: al valor del motor (caja) o con descuento negociado (Aplicación de Fondos, con firmas). El orden de condonación es fijo: primero gastos, luego intereses; capital nunca.</w:t>
      </w:r>
    </w:p>
    <w:p>
      <w:pPr>
        <w:pStyle w:val="ListBullet"/>
      </w:pPr>
      <w:r>
        <w:rPr>
          <w:b/>
        </w:rPr>
        <w:t xml:space="preserve">Transitorias: </w:t>
      </w:r>
      <w:r>
        <w:t>un abono no identificado espera en Cuentas Transitorias y se aplica al aclarar el pagador — si un cliente jura que pagó y no aparece, revisar ahí primero.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4"/>
      </w:tblGrid>
      <w:tr>
        <w:tc>
          <w:tcPr>
            <w:tcW w:type="dxa" w:w="9354"/>
            <w:shd w:val="clear" w:fill="FEF3C7"/>
          </w:tcPr>
          <w:p>
            <w:r>
              <w:rPr>
                <w:b/>
                <w:color w:val="B45F06"/>
                <w:sz w:val="21"/>
              </w:rPr>
              <w:t>⚠ OJO</w:t>
            </w:r>
          </w:p>
          <w:p>
            <w:pPr>
              <w:spacing w:after="40"/>
            </w:pPr>
            <w:r>
              <w:rPr>
                <w:sz w:val="21"/>
              </w:rPr>
              <w:t>Si el cliente reclama que "el sistema le cobra distinto" entre el portal, el certificado y la caja: no puede pasar, es el mismo motor. Si de verdad difiere, es un bug — reportarlo a TI de inmediato con los pantallazos.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Anexo A. Síntomas frecuentes y su causa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75"/>
            <w:shd w:val="clear" w:fill="012D70"/>
          </w:tcPr>
          <w:p>
            <w:r>
              <w:rPr>
                <w:b/>
                <w:color w:val="FFFFFF"/>
                <w:sz w:val="19"/>
              </w:rPr>
              <w:t>Síntoma</w:t>
            </w:r>
          </w:p>
        </w:tc>
        <w:tc>
          <w:tcPr>
            <w:tcW w:type="dxa" w:w="3175"/>
            <w:shd w:val="clear" w:fill="012D70"/>
          </w:tcPr>
          <w:p>
            <w:r>
              <w:rPr>
                <w:b/>
                <w:color w:val="FFFFFF"/>
                <w:sz w:val="19"/>
              </w:rPr>
              <w:t>Causa probable</w:t>
            </w:r>
          </w:p>
        </w:tc>
        <w:tc>
          <w:tcPr>
            <w:tcW w:type="dxa" w:w="3005"/>
            <w:shd w:val="clear" w:fill="012D70"/>
          </w:tcPr>
          <w:p>
            <w:r>
              <w:rPr>
                <w:b/>
                <w:color w:val="FFFFFF"/>
                <w:sz w:val="19"/>
              </w:rPr>
              <w:t>Qué hacer</w:t>
            </w:r>
          </w:p>
        </w:tc>
      </w:tr>
      <w:tr>
        <w:tc>
          <w:tcPr>
            <w:tcW w:type="dxa" w:w="3175"/>
          </w:tcPr>
          <w:p>
            <w:r>
              <w:rPr>
                <w:sz w:val="19"/>
              </w:rPr>
              <w:t>No puedo hacer otra gestión esta semana</w:t>
            </w:r>
          </w:p>
        </w:tc>
        <w:tc>
          <w:tcPr>
            <w:tcW w:type="dxa" w:w="3175"/>
          </w:tcPr>
          <w:p>
            <w:r>
              <w:rPr>
                <w:sz w:val="19"/>
              </w:rPr>
              <w:t>Tope legal de gestiones alcanzado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Esperar: el bloqueo es de ley, no del sistema (cap. 1)</w:t>
            </w:r>
          </w:p>
        </w:tc>
      </w:tr>
      <w:tr>
        <w:tc>
          <w:tcPr>
            <w:tcW w:type="dxa" w:w="3175"/>
          </w:tcPr>
          <w:p>
            <w:r>
              <w:rPr>
                <w:sz w:val="19"/>
              </w:rPr>
              <w:t>El cliente dice que pagó y sigue en mora</w:t>
            </w:r>
          </w:p>
        </w:tc>
        <w:tc>
          <w:tcPr>
            <w:tcW w:type="dxa" w:w="3175"/>
          </w:tcPr>
          <w:p>
            <w:r>
              <w:rPr>
                <w:sz w:val="19"/>
              </w:rPr>
              <w:t>Abono no identificado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Buscar en Cuentas Transitorias (cap. 10)</w:t>
            </w:r>
          </w:p>
        </w:tc>
      </w:tr>
      <w:tr>
        <w:tc>
          <w:tcPr>
            <w:tcW w:type="dxa" w:w="3175"/>
          </w:tcPr>
          <w:p>
            <w:r>
              <w:rPr>
                <w:sz w:val="19"/>
              </w:rPr>
              <w:t>La mora del portal difiere de la de caja</w:t>
            </w:r>
          </w:p>
        </w:tc>
        <w:tc>
          <w:tcPr>
            <w:tcW w:type="dxa" w:w="3175"/>
          </w:tcPr>
          <w:p>
            <w:r>
              <w:rPr>
                <w:sz w:val="19"/>
              </w:rPr>
              <w:t>No puede pasar (mismo motor)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Reportar a TI con pantallazos (cap. 10)</w:t>
            </w:r>
          </w:p>
        </w:tc>
      </w:tr>
      <w:tr>
        <w:tc>
          <w:tcPr>
            <w:tcW w:type="dxa" w:w="3175"/>
          </w:tcPr>
          <w:p>
            <w:r>
              <w:rPr>
                <w:sz w:val="19"/>
              </w:rPr>
              <w:t>Los gastos de cobranza no aparecen</w:t>
            </w:r>
          </w:p>
        </w:tc>
        <w:tc>
          <w:tcPr>
            <w:tcW w:type="dxa" w:w="3175"/>
          </w:tcPr>
          <w:p>
            <w:r>
              <w:rPr>
                <w:sz w:val="19"/>
              </w:rPr>
              <w:t>Menos de 21 días de atraso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Corren desde el día 21 (cap. 5)</w:t>
            </w:r>
          </w:p>
        </w:tc>
      </w:tr>
      <w:tr>
        <w:tc>
          <w:tcPr>
            <w:tcW w:type="dxa" w:w="3175"/>
          </w:tcPr>
          <w:p>
            <w:r>
              <w:rPr>
                <w:sz w:val="19"/>
              </w:rPr>
              <w:t>Quiero condonar parte del capital</w:t>
            </w:r>
          </w:p>
        </w:tc>
        <w:tc>
          <w:tcPr>
            <w:tcW w:type="dxa" w:w="3175"/>
          </w:tcPr>
          <w:p>
            <w:r>
              <w:rPr>
                <w:sz w:val="19"/>
              </w:rPr>
              <w:t>No existe esa vía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El capital nunca se condona (cap. 5)</w:t>
            </w:r>
          </w:p>
        </w:tc>
      </w:tr>
      <w:tr>
        <w:tc>
          <w:tcPr>
            <w:tcW w:type="dxa" w:w="3175"/>
          </w:tcPr>
          <w:p>
            <w:r>
              <w:rPr>
                <w:sz w:val="19"/>
              </w:rPr>
              <w:t>El WhatsApp automático no salió</w:t>
            </w:r>
          </w:p>
        </w:tc>
        <w:tc>
          <w:tcPr>
            <w:tcW w:type="dxa" w:w="3175"/>
          </w:tcPr>
          <w:p>
            <w:r>
              <w:rPr>
                <w:sz w:val="19"/>
              </w:rPr>
              <w:t>Sin cupo semanal, fuera de horario o sin teléfono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Revisar disponibilidad del crédito y el registro de envíos (cap. 2)</w:t>
            </w:r>
          </w:p>
        </w:tc>
      </w:tr>
      <w:tr>
        <w:tc>
          <w:tcPr>
            <w:tcW w:type="dxa" w:w="3175"/>
          </w:tcPr>
          <w:p>
            <w:r>
              <w:rPr>
                <w:sz w:val="19"/>
              </w:rPr>
              <w:t>Necesito acreditar la gestión ante el abogado</w:t>
            </w:r>
          </w:p>
        </w:tc>
        <w:tc>
          <w:tcPr>
            <w:tcW w:type="dxa" w:w="3175"/>
          </w:tcPr>
          <w:p>
            <w:r>
              <w:rPr>
                <w:sz w:val="19"/>
              </w:rPr>
              <w:t>Informe formal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Informe PDF de gestiones desde la bitácora (cap. 3.1)</w:t>
            </w:r>
          </w:p>
        </w:tc>
      </w:tr>
      <w:tr>
        <w:tc>
          <w:tcPr>
            <w:tcW w:type="dxa" w:w="3175"/>
          </w:tcPr>
          <w:p>
            <w:r>
              <w:rPr>
                <w:sz w:val="19"/>
              </w:rPr>
              <w:t>El crédito moroso no sale en mi informe de otorgados</w:t>
            </w:r>
          </w:p>
        </w:tc>
        <w:tc>
          <w:tcPr>
            <w:tcW w:type="dxa" w:w="3175"/>
          </w:tcPr>
          <w:p>
            <w:r>
              <w:rPr>
                <w:sz w:val="19"/>
              </w:rPr>
              <w:t>Confusión etapa / estado de cartera</w:t>
            </w:r>
          </w:p>
        </w:tc>
        <w:tc>
          <w:tcPr>
            <w:tcW w:type="dxa" w:w="3005"/>
          </w:tcPr>
          <w:p>
            <w:r>
              <w:rPr>
                <w:sz w:val="19"/>
              </w:rPr>
              <w:t>EN MORA sigue siendo OTORGADO en etapa (cap. 1)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Anexo B. 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438"/>
            <w:shd w:val="clear" w:fill="012D70"/>
          </w:tcPr>
          <w:p>
            <w:r>
              <w:rPr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6917"/>
            <w:shd w:val="clear" w:fill="012D70"/>
          </w:tcPr>
          <w:p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Estado de cartera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Cómo paga el crédito: VIGENTE, EN MORA, VENCIDO, PREPAGADO, CASTIGADO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TMC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Tasa máxima convencional; la tasa de mora queda fija al otorgamiento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Tramo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Rango de días de atraso que define gestiones, gastos y provisión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Bitácora CRM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Registro único de todas las gestiones de un crédito; exportable a Excel y PDF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Gestión remota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WhatsApp, SMS o Email — máx. 2 por semana, separadas por 2 días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Gestión presencial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Llamada, visita en terreno o visita del cliente — máx. 1 por semana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Compromiso de pago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Promesa registrada con fecha y monto; su cumplimiento se sigue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Provisión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Reconocimiento contable del riesgo por tramo de mora; cierre automático mensual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Castigo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Baja contable del incobrable; doble firma gerencial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Recupero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Pago de un crédito ya castigado; entra por caja con su asiento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Aplicación de Fondos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Prepago con descuento negociado y cadena de firmas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Score de Mora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Mora histórica por segmento; alimenta la política de crédito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Snapshot judicial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Foto financiera del crédito al entrar a cobranza judicial</w:t>
            </w:r>
          </w:p>
        </w:tc>
      </w:tr>
      <w:tr>
        <w:tc>
          <w:tcPr>
            <w:tcW w:type="dxa" w:w="2438"/>
          </w:tcPr>
          <w:p>
            <w:r>
              <w:rPr>
                <w:sz w:val="19"/>
              </w:rPr>
              <w:t>PWA Terreno</w:t>
            </w:r>
          </w:p>
        </w:tc>
        <w:tc>
          <w:tcPr>
            <w:tcW w:type="dxa" w:w="6917"/>
          </w:tcPr>
          <w:p>
            <w:r>
              <w:rPr>
                <w:sz w:val="19"/>
              </w:rPr>
              <w:t>App móvil de visitas: ruta del día, check-in GPS y fotos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Anexo C. Capturas pendientes de esta versión</w:t>
      </w:r>
    </w:p>
    <w:p>
      <w:r>
        <w:rPr>
          <w:b w:val="0"/>
          <w:i w:val="0"/>
        </w:rPr>
        <w:t>Recorrer las pantallas en este orden y reemplazar cada recuadro gris: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680"/>
            <w:shd w:val="clear" w:fill="012D70"/>
          </w:tcPr>
          <w:p>
            <w:r>
              <w:rPr>
                <w:b/>
                <w:color w:val="FFFFFF"/>
                <w:sz w:val="19"/>
              </w:rPr>
              <w:t>N°</w:t>
            </w:r>
          </w:p>
        </w:tc>
        <w:tc>
          <w:tcPr>
            <w:tcW w:type="dxa" w:w="3572"/>
            <w:shd w:val="clear" w:fill="012D70"/>
          </w:tcPr>
          <w:p>
            <w:r>
              <w:rPr>
                <w:b/>
                <w:color w:val="FFFFFF"/>
                <w:sz w:val="19"/>
              </w:rPr>
              <w:t>Pantalla</w:t>
            </w:r>
          </w:p>
        </w:tc>
        <w:tc>
          <w:tcPr>
            <w:tcW w:type="dxa" w:w="5102"/>
            <w:shd w:val="clear" w:fill="012D70"/>
          </w:tcPr>
          <w:p>
            <w:r>
              <w:rPr>
                <w:b/>
                <w:color w:val="FFFFFF"/>
                <w:sz w:val="19"/>
              </w:rPr>
              <w:t>Qué debe mostrar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Cobranza → bitácora CRM de un crédito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La línea de tiempo con gestiones automáticas y humanas mezcladas.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Cobranza → Pre-judicial → panel de un crédito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El formulario de gestión manual con los tres tipos y la disponibilidad semanal.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Pre-judicial → Bitácora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Los botones Excel e Informe PDF sobre la línea de tiempo.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Mantenedores → Cobranza Judicial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Los tres catálogos y la cartera judicial filtrable por abogado.</w:t>
            </w:r>
          </w:p>
        </w:tc>
      </w:tr>
      <w:tr>
        <w:tc>
          <w:tcPr>
            <w:tcW w:type="dxa" w:w="68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3572"/>
          </w:tcPr>
          <w:p>
            <w:r>
              <w:rPr>
                <w:sz w:val="19"/>
              </w:rPr>
              <w:t>Castigos</w:t>
            </w:r>
          </w:p>
        </w:tc>
        <w:tc>
          <w:tcPr>
            <w:tcW w:type="dxa" w:w="5102"/>
          </w:tcPr>
          <w:p>
            <w:r>
              <w:rPr>
                <w:sz w:val="19"/>
              </w:rPr>
              <w:t>Una solicitud de castigo con sus dos firmas.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12D7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141A2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12D7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