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015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jc w:val="center"/>
      </w:pPr>
      <w:r>
        <w:rPr>
          <w:b/>
          <w:i w:val="0"/>
          <w:color w:val="012D70"/>
          <w:sz w:val="52"/>
        </w:rPr>
        <w:t>MANUAL DE CONTABILIDAD Y TESORERÍA</w:t>
      </w:r>
    </w:p>
    <w:p>
      <w:pPr>
        <w:jc w:val="center"/>
      </w:pPr>
      <w:r>
        <w:rPr>
          <w:b w:val="0"/>
          <w:i w:val="0"/>
          <w:color w:val="0141A2"/>
          <w:sz w:val="32"/>
        </w:rPr>
        <w:t>AutoFácil Business Suite</w:t>
      </w:r>
    </w:p>
    <w:p>
      <w:pPr>
        <w:spacing w:after="600"/>
      </w:pPr>
    </w:p>
    <w:p>
      <w:pPr>
        <w:jc w:val="center"/>
      </w:pPr>
      <w:r>
        <w:rPr>
          <w:b w:val="0"/>
          <w:i w:val="0"/>
          <w:color w:val="475569"/>
          <w:sz w:val="24"/>
        </w:rPr>
        <w:t>La caja, los pagos, los libros y el cierre:</w:t>
      </w:r>
    </w:p>
    <w:p>
      <w:pPr>
        <w:jc w:val="center"/>
      </w:pPr>
      <w:r>
        <w:rPr>
          <w:b w:val="0"/>
          <w:i w:val="0"/>
          <w:color w:val="475569"/>
          <w:sz w:val="24"/>
        </w:rPr>
        <w:t>una contabilidad que se construye sola desde la operación.</w:t>
      </w:r>
    </w:p>
    <w:p/>
    <w:p/>
    <w:p/>
    <w:p/>
    <w:p/>
    <w:p/>
    <w:p>
      <w:pPr>
        <w:jc w:val="center"/>
      </w:pPr>
      <w:r>
        <w:rPr>
          <w:b w:val="0"/>
          <w:i w:val="0"/>
          <w:color w:val="9AA0A6"/>
          <w:sz w:val="22"/>
        </w:rPr>
        <w:t>Versión 1.0 · Agosto 2026</w:t>
      </w:r>
    </w:p>
    <w:p>
      <w:pPr>
        <w:jc w:val="center"/>
      </w:pPr>
      <w:r>
        <w:rPr>
          <w:b w:val="0"/>
          <w:i w:val="0"/>
          <w:color w:val="9AA0A6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val="clear" w:fill="012D70"/>
          </w:tcPr>
          <w:p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814"/>
            <w:shd w:val="clear" w:fill="012D7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268"/>
            <w:shd w:val="clear" w:fill="012D70"/>
          </w:tcPr>
          <w:p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025"/>
            <w:shd w:val="clear" w:fill="012D70"/>
          </w:tcPr>
          <w:p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1.0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Agosto 2026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Business Suite</w:t>
            </w:r>
          </w:p>
        </w:tc>
        <w:tc>
          <w:tcPr>
            <w:tcW w:type="dxa" w:w="4025"/>
          </w:tcPr>
          <w:p>
            <w:r>
              <w:rPr>
                <w:sz w:val="19"/>
              </w:rPr>
              <w:t>Emisión inicial del tomo Contabilidad y Tesorería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r>
        <w:rPr>
          <w:b w:val="0"/>
          <w:i w:val="0"/>
        </w:rPr>
        <w:t>Cada capítulo: para qué existe el proceso, quién lo hace, prerequisitos, paso a paso y los recuadros ⚠ OJO / 🔒 Regla del sistema / 🧾 Caso real / 📸 CAPTURA (pendientes en esta versión). Las rutas se escriben "Módulo → Card".</w:t>
      </w:r>
    </w:p>
    <w:p>
      <w:r>
        <w:br w:type="page"/>
      </w:r>
    </w:p>
    <w:p>
      <w:pPr>
        <w:pStyle w:val="Heading1"/>
      </w:pPr>
      <w:r>
        <w:t>Índice</w:t>
      </w:r>
    </w:p>
    <w:p>
      <w:fldSimple w:instr="TOC \o &quot;1-2&quot; \h \z \u">
        <w:r>
          <w:t>Índice — clic derecho → Actualizar campos</w:t>
        </w:r>
      </w:fldSimple>
    </w:p>
    <w:p>
      <w:r>
        <w:br w:type="page"/>
      </w:r>
    </w:p>
    <w:p>
      <w:pPr>
        <w:pStyle w:val="Heading1"/>
      </w:pPr>
      <w:r>
        <w:t>1. Los principios: por qué esta contabilidad es distinta</w:t>
      </w:r>
    </w:p>
    <w:p>
      <w:r>
        <w:rPr>
          <w:b w:val="0"/>
          <w:i w:val="0"/>
        </w:rPr>
        <w:t>El objetivo del módulo es reemplazar el sistema contable externo (AVSOFT). Eso solo es posible si la contabilidad se construye sola desde la operación: un movimiento que no genera asiento obliga a digitarlo aparte — y ahí volvimos al sistema anterior.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Cada ingreso y cada egreso que el sistema registra DEBE reflejarse en la contabilidad, automáticamente y por el motor único de centralización, con su regla paramétrica en el mantenedor Reglas de Centralización. Sin excepciones.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Devengo y pago son dos hechos distintos: </w:t>
      </w:r>
      <w:r>
        <w:t>el gasto/ingreso se reconoce cuando nace la obligación (documento recibido, liquidación emitida); el pago solo rebaja el pasivo contra banco. No se confunden.</w:t>
      </w:r>
    </w:p>
    <w:p>
      <w:pPr>
        <w:pStyle w:val="ListBullet"/>
      </w:pPr>
      <w:r>
        <w:rPr>
          <w:b/>
        </w:rPr>
        <w:t xml:space="preserve">Los impuestos son parte del asiento: </w:t>
      </w:r>
      <w:r>
        <w:t>IVA crédito/débito fiscal y retenciones van a su cuenta de pasivo o activo, para que el F29 salga del sistema y no a mano.</w:t>
      </w:r>
    </w:p>
    <w:p>
      <w:pPr>
        <w:pStyle w:val="ListBullet"/>
      </w:pPr>
      <w:r>
        <w:rPr>
          <w:b/>
        </w:rPr>
        <w:t xml:space="preserve">Las cuentas nunca llevan año: </w:t>
      </w:r>
      <w:r>
        <w:t>la separación por ejercicio la da el período contable, no cuentas distintas ("FACTURAS POR PAGAR 2025" no existe).</w:t>
      </w:r>
    </w:p>
    <w:p>
      <w:pPr>
        <w:pStyle w:val="ListBullet"/>
      </w:pPr>
      <w:r>
        <w:rPr>
          <w:b/>
        </w:rPr>
        <w:t xml:space="preserve">La contabilidad nunca bloquea la operación: </w:t>
      </w:r>
      <w:r>
        <w:t>el motor no lanza errores a la operación: registra el resultado en el log de eventos (CONTABILIZADO / SIN_REGLA / DESCUADRE / ERROR). Ese log es la lista de pendientes: lo que aparece SIN_REGLA falta cablearlo.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Contabilidad → log de eventos contables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log con eventos CONTABILIZADO y alguno SIN_REGLA si existe.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Recaudación: la caja</w:t>
      </w:r>
    </w:p>
    <w:p>
      <w:r>
        <w:rPr>
          <w:b w:val="0"/>
          <w:i w:val="0"/>
        </w:rPr>
        <w:t>Cobrar la cartera propia — cada peso que entra queda registrado, timbrado y contabilizado una sola vez.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Tesorería → Caja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Cajero (cobra) · Tesorería (aprueba ODP y aplica transitorias)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Caja asignada en Administración de Cajas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Caja creada y asignada · calendario de cuotas del crédito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Buscar el crédito y cobrar</w:t>
      </w:r>
    </w:p>
    <w:p>
      <w:pPr>
        <w:ind w:left="340"/>
      </w:pPr>
      <w:r>
        <w:t>Cuotas individuales o en lote. La mora y los gastos salen del motor único — los mismos valores que muestran el portal del cliente y los certificados. El comprobante sale con timbre PAGADO.</w:t>
      </w:r>
    </w:p>
    <w:p>
      <w:pPr>
        <w:spacing w:before="160" w:after="40"/>
      </w:pPr>
      <w:r>
        <w:rPr>
          <w:b/>
          <w:color w:val="012D70"/>
        </w:rPr>
        <w:t>Paso 2 — Pago con aprobación</w:t>
      </w:r>
    </w:p>
    <w:p>
      <w:pPr>
        <w:ind w:left="340"/>
      </w:pPr>
      <w:r>
        <w:t>Se emite ODP de cuotas; Tesorería aprueba y el pago queda registrado con correo de respaldo.</w:t>
      </w:r>
    </w:p>
    <w:p>
      <w:pPr>
        <w:spacing w:before="160" w:after="40"/>
      </w:pPr>
      <w:r>
        <w:rPr>
          <w:b/>
          <w:color w:val="012D70"/>
        </w:rPr>
        <w:t>Paso 3 — Abono no identificado</w:t>
      </w:r>
    </w:p>
    <w:p>
      <w:pPr>
        <w:ind w:left="340"/>
      </w:pPr>
      <w:r>
        <w:t>Entra a Cuentas Transitorias y se aplica al crédito cuando se aclara el pagador.</w:t>
      </w:r>
    </w:p>
    <w:p>
      <w:pPr>
        <w:spacing w:before="160" w:after="40"/>
      </w:pPr>
      <w:r>
        <w:rPr>
          <w:b/>
          <w:color w:val="012D70"/>
        </w:rPr>
        <w:t>Paso 4 — Cierre de caja</w:t>
      </w:r>
    </w:p>
    <w:p>
      <w:pPr>
        <w:ind w:left="340"/>
      </w:pPr>
      <w:r>
        <w:t>Al final del día, cuadratura de lo recaudado.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Tesorería → Caja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 crédito con sus cuotas, una pagada con timbre y el detalle de mora del motor.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CUOTA VIGENTE → PAGADA · TRANSITORIA → APLICADA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F3C7"/>
          </w:tcPr>
          <w:p>
            <w:r>
              <w:rPr>
                <w:b/>
                <w:color w:val="B45F06"/>
                <w:sz w:val="21"/>
              </w:rPr>
              <w:t>⚠ OJO</w:t>
            </w:r>
          </w:p>
          <w:p>
            <w:pPr>
              <w:spacing w:after="40"/>
            </w:pPr>
            <w:r>
              <w:rPr>
                <w:sz w:val="21"/>
              </w:rPr>
              <w:t>El calendario de cuotas se congeló al otorgar el crédito y es inmutable. Si una cuota "no calza", el problema está en la operación (mes de mora, gastos), nunca se corrige editando el calendario.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Prepago y Aplicación de Fondos</w:t>
      </w:r>
    </w:p>
    <w:p>
      <w:r>
        <w:rPr>
          <w:b w:val="0"/>
          <w:i w:val="0"/>
        </w:rPr>
        <w:t>Saldar un crédito completo antes de plazo. Dos vías: al valor del motor (prepago simple, en caja) o con descuento negociado (Aplicación de Fondos, con cadena de firmas).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Caja → botón Prepago · Tesorería → Aplicación de Fondos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Cajero (prepago simple) · Tesorería + cadena de firmas (aplicación con descuento)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Atribuciones de condonación configuradas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Crédito vigente de cartera propia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Prepago en caja</w:t>
      </w:r>
    </w:p>
    <w:p>
      <w:pPr>
        <w:ind w:left="340"/>
      </w:pPr>
      <w:r>
        <w:t>El mismo motor del certificado calcula capital + accesorios; la condonación posible depende de las atribuciones del usuario. El crédito queda PREPAGADO.</w:t>
      </w:r>
    </w:p>
    <w:p>
      <w:pPr>
        <w:spacing w:before="160" w:after="40"/>
      </w:pPr>
      <w:r>
        <w:rPr>
          <w:b/>
          <w:color w:val="012D70"/>
        </w:rPr>
        <w:t>Paso 2 — Aplicación de Fondos</w:t>
      </w:r>
    </w:p>
    <w:p>
      <w:pPr>
        <w:ind w:left="340"/>
      </w:pPr>
      <w:r>
        <w:t>Propuesta ítem por ítem sobre el motor de prepago, que recorre HECHO → APROBADO → PROCESADO antes de aplicarse. Lo condonado queda registrado.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orden de condonación es fijo: primero gastos, luego intereses. El capital NUNCA se condona.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Tesorería → Aplicación de Fondos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propuesta ítem por ítem con sus firmas.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HECHO → APROBADO → PROCESADO → PREPAGADO</w:t>
      </w:r>
    </w:p>
    <w:p>
      <w:r>
        <w:br w:type="page"/>
      </w:r>
    </w:p>
    <w:p>
      <w:pPr>
        <w:pStyle w:val="Heading1"/>
      </w:pPr>
      <w:r>
        <w:t>4. Órdenes de Pago y segregación de funciones</w:t>
      </w:r>
    </w:p>
    <w:p>
      <w:r>
        <w:rPr>
          <w:b w:val="0"/>
          <w:i w:val="0"/>
        </w:rPr>
        <w:t>Toda salida de plata pasa por una ODP con correlativo único global: comisiones de dealers y parques, saldos precio, proveedores, cuotas con aprobación. La ODP es el punto donde se aplican los controles.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Segregación de funciones: quien emite o manda a pago NO paga. El bloqueo es por usuario, está en el servidor y es paramétrico en Administración de Cajas. Vale para todas las ODP del sistema.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Emitir: </w:t>
      </w:r>
      <w:r>
        <w:t>con doble firma donde corresponde (anulaciones, castigos, aplicaciones).</w:t>
      </w:r>
    </w:p>
    <w:p>
      <w:pPr>
        <w:pStyle w:val="ListBullet"/>
      </w:pPr>
      <w:r>
        <w:rPr>
          <w:b/>
        </w:rPr>
        <w:t xml:space="preserve">Anular: </w:t>
      </w:r>
      <w:r>
        <w:t>una ODP no pagada se puede anular con motivo: el correlativo queda anulado y nunca se reutiliza.</w:t>
      </w:r>
    </w:p>
    <w:p>
      <w:pPr>
        <w:pStyle w:val="ListBullet"/>
      </w:pPr>
      <w:r>
        <w:rPr>
          <w:b/>
        </w:rPr>
        <w:t xml:space="preserve">Revertir: </w:t>
      </w:r>
      <w:r>
        <w:t>un pago se puede revertir con motivo auditado: la ODP vuelve a "por pagar".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Órdenes de Pago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ledger de ODP con sus estados y correlativo.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Cada pago genera su asiento automático: devengo al nacer la obligación, pago al confirmarse (rebaja del pasivo contra banco). Ver capítulo 1.</w:t>
      </w:r>
    </w:p>
    <w:p>
      <w:r>
        <w:br w:type="page"/>
      </w:r>
    </w:p>
    <w:p>
      <w:pPr>
        <w:pStyle w:val="Heading1"/>
      </w:pPr>
      <w:r>
        <w:t>5. Saldos precio: plata en tránsito</w:t>
      </w:r>
    </w:p>
    <w:p>
      <w:r>
        <w:rPr>
          <w:b w:val="0"/>
          <w:i w:val="0"/>
        </w:rPr>
        <w:t>La financiera transfiere el saldo del precio del vehículo y AutoFácil lo entrega íntegro al dealer. Tesorería emite y paga la nómina; el compromiso es el SLA con el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Post Venta → Saldos Precio · Tesorería → card Saldo Precio en Proceso de Pago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Post Venta define fondos y nómina · Tesorería emite y paga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Emisión y pago separados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Fondos recibidos de la financiera · etapas de Saldo Precio al día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saldo precio es una CUENTA DE PASO: al marcar FONDOS RECIBIDOS entra banco contra el pasivo transitorio, y al marcar SALDO PRECIO PAGADO se rebaja contra banco. No toca el resultado — no infla ingresos ni gastos — y el saldo de la cuenta muestra cuánta plata de dealers hay en tránsito.</w:t>
            </w:r>
          </w:p>
        </w:tc>
      </w:tr>
    </w:tbl>
    <w:p>
      <w:pPr>
        <w:spacing w:after="40"/>
      </w:pPr>
    </w:p>
    <w:p>
      <w:pPr>
        <w:pStyle w:val="Heading2"/>
      </w:pPr>
      <w:r>
        <w:t>5.1 La card de seguimiento en Tesorería</w:t>
      </w:r>
    </w:p>
    <w:p>
      <w:r>
        <w:rPr>
          <w:b w:val="0"/>
          <w:i w:val="0"/>
        </w:rPr>
        <w:t>La planilla histórica se reconstruye en vivo desde las etapas de Post Venta: recepción de fundantes (con AM/PM), vencimiento por SLA — 24/48/72 horas hábiles según la clasificación del dealer (SUPERPARTNER / PARTNER / SOCIO; recepción PM cuenta desde el día hábil siguiente) —, N° de ODP, carga al banco y pago.</w:t>
      </w:r>
    </w:p>
    <w:p>
      <w:pPr>
        <w:pStyle w:val="ListBullet"/>
      </w:pPr>
      <w:r>
        <w:rPr>
          <w:b/>
        </w:rPr>
        <w:t xml:space="preserve">El monto a pagar: </w:t>
      </w:r>
      <w:r>
        <w:t>sale de la ODP (saldo + gastos). Sin ODP aún, se muestra el saldo marcado preliminar.</w:t>
      </w:r>
    </w:p>
    <w:p>
      <w:pPr>
        <w:pStyle w:val="ListBullet"/>
      </w:pPr>
      <w:r>
        <w:rPr>
          <w:b/>
        </w:rPr>
        <w:t xml:space="preserve">Exportar Excel: </w:t>
      </w:r>
      <w:r>
        <w:t>genera el archivo con el nombre exacto que exige la otra aplicación. Su "CARGADO" es nuestra etapa ENVIADO A PAGO; su "CARGAR" es ORDEN DE PAGO EMITIDA.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Tesorería → Saldo Precio en Proceso de Pago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La card con operaciones en distintos estados y sus SLA.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SALDO PENDIENTE → EN NÓMINA → ORDEN EMITIDA → PAGADO</w:t>
      </w:r>
    </w:p>
    <w:p>
      <w:r>
        <w:br w:type="page"/>
      </w:r>
    </w:p>
    <w:p>
      <w:pPr>
        <w:pStyle w:val="Heading1"/>
      </w:pPr>
      <w:r>
        <w:t>6. Pagar comisiones: dealers y parques</w:t>
      </w:r>
    </w:p>
    <w:p>
      <w:r>
        <w:rPr>
          <w:b w:val="0"/>
          <w:i w:val="0"/>
        </w:rPr>
        <w:t>El circuito completo de cartolas vive en el Manual de Operaciones (capítulos 12 y 13). Aquí, lo que le toca a Tesorería y Contabilidad: el documento, el impuesto y el pago.</w:t>
      </w:r>
    </w:p>
    <w:p>
      <w:pPr>
        <w:pStyle w:val="Heading2"/>
      </w:pPr>
      <w:r>
        <w:t>6.1 Factura o boleta: qué paga la ODP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La comisión calculada es BRUTA (IVA incluido); se desagrega con el motor único, nunca se le suma IVA encima. Con FACTURA, la ODP paga el bruto y el IVA es crédito fiscal. Con BOLETA de honorarios, el honorario bruto es el neto de la factura equivalente y la ODP paga el líquido (honorario − retención); la retención queda como pasivo con el SII y va al F29. La boleta entra sola al auxiliar de honorarios.</w:t>
            </w:r>
          </w:p>
        </w:tc>
      </w:tr>
    </w:tbl>
    <w:p>
      <w:pPr>
        <w:spacing w:after="40"/>
      </w:pPr>
    </w:p>
    <w:p>
      <w:pPr>
        <w:pStyle w:val="Heading2"/>
      </w:pPr>
      <w:r>
        <w:t>6.2 Los asientos automáticos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fill="012D70"/>
          </w:tcPr>
          <w:p>
            <w:r>
              <w:rPr>
                <w:b/>
                <w:color w:val="FFFFFF"/>
                <w:sz w:val="19"/>
              </w:rPr>
              <w:t>Hecho</w:t>
            </w:r>
          </w:p>
        </w:tc>
        <w:tc>
          <w:tcPr>
            <w:tcW w:type="dxa" w:w="5386"/>
            <w:shd w:val="clear" w:fill="012D70"/>
          </w:tcPr>
          <w:p>
            <w:r>
              <w:rPr>
                <w:b/>
                <w:color w:val="FFFFFF"/>
                <w:sz w:val="19"/>
              </w:rPr>
              <w:t>Asiento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registra el documento del dealer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Devengo del gasto contra el pasivo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marca COMISIÓN PAGADA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Rebaja del pasivo contra banco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aprueba el mes de un parque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DEBE Arriendos + DEBE Comisiones por Ventas → HABER pasivo (cuentas separadas)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paga la ODP del parque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DEBE pasivo → HABER banco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solicita facturar el ingreso AutoFácil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Devengo de la comisión por cobrar (neto + IVA débito fiscal)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Cada asiento es idempotente por referencia: aprobar dos veces no duplica. Las reglas son paramétricas en Reglas de Centralización.</w:t>
      </w:r>
    </w:p>
    <w:p>
      <w:r>
        <w:br w:type="page"/>
      </w:r>
    </w:p>
    <w:p>
      <w:pPr>
        <w:pStyle w:val="Heading1"/>
      </w:pPr>
      <w:r>
        <w:t>7. Plan Liquidez: el anticipo de los Super Partner</w:t>
      </w:r>
    </w:p>
    <w:p>
      <w:r>
        <w:rPr>
          <w:b w:val="0"/>
          <w:i w:val="0"/>
        </w:rPr>
        <w:t>Renovar cada mes el anticipo de comisiones de los dealers Super Partner, descontando por ODP sin tocar la cartola.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Dealers → Plan Liquidez → Hojas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Jefe/Gerente Comercial (N1 aprueba o modifica) · Gerente General (N2) · Finanzas toma conocimiento · Tesorería paga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Cadena de niveles del plan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Plan creado (contrato + pagaré) · cartolas del mes enviadas (la comisión sale de ahí)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Generar la Hoja de Liquidación</w:t>
      </w:r>
    </w:p>
    <w:p>
      <w:pPr>
        <w:ind w:left="340"/>
      </w:pPr>
      <w:r>
        <w:t>Una línea por dealer: comisión C, deuda D, adelanto A = min(C, tope), descuento D−A y pago neto.</w:t>
      </w:r>
    </w:p>
    <w:p>
      <w:pPr>
        <w:spacing w:before="160" w:after="40"/>
      </w:pPr>
      <w:r>
        <w:rPr>
          <w:b/>
          <w:color w:val="012D70"/>
        </w:rPr>
        <w:t>Paso 2 — Cadena N1 → N2 → N3</w:t>
      </w:r>
    </w:p>
    <w:p>
      <w:pPr>
        <w:ind w:left="340"/>
      </w:pPr>
      <w:r>
        <w:t>48 horas por nivel, auto-avanza al vencer. N1 puede modificar líneas con motivo.</w:t>
      </w:r>
    </w:p>
    <w:p>
      <w:pPr>
        <w:spacing w:before="160" w:after="40"/>
      </w:pPr>
      <w:r>
        <w:rPr>
          <w:b/>
          <w:color w:val="012D70"/>
        </w:rPr>
        <w:t>Paso 3 — Emitir la ODP</w:t>
      </w:r>
    </w:p>
    <w:p>
      <w:pPr>
        <w:ind w:left="340"/>
      </w:pPr>
      <w:r>
        <w:t>Con el descuento aplicado (o una segunda ODP si es aumento). Al pagarse, el abono queda en la cuenta corriente del dealer y la deuda pasa a 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6 · Plan Liquidez → Hoja de Liquidación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hoja con sus líneas por dealer y la cadena de firmas.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HOJA GENERADA → N1 → N2 → CONOCIMIENTO N3 → ODP → PAGADA / ABONADA</w:t>
      </w:r>
    </w:p>
    <w:p>
      <w:r>
        <w:br w:type="page"/>
      </w:r>
    </w:p>
    <w:p>
      <w:pPr>
        <w:pStyle w:val="Heading1"/>
      </w:pPr>
      <w:r>
        <w:t>8. Conciliación bancaria</w:t>
      </w:r>
    </w:p>
    <w:p>
      <w:r>
        <w:rPr>
          <w:b w:val="0"/>
          <w:i w:val="0"/>
        </w:rPr>
        <w:t>La cartola del banco entra por la conexión bancaria (Fintoc) o por archivo, y el matching automático calza cada abono con su movimiento del sistema: cuotas pagadas, saldos recibidos, transferencias. Lo que no calza queda en la bandeja para conciliar a mano.</w:t>
      </w:r>
    </w:p>
    <w:p>
      <w:pPr>
        <w:pStyle w:val="ListBullet"/>
      </w:pPr>
      <w:r>
        <w:rPr>
          <w:b/>
        </w:rPr>
        <w:t xml:space="preserve">Abonos no identificados: </w:t>
      </w:r>
      <w:r>
        <w:t>un abono de cliente que no calza con ninguna cuota va a Cuentas Transitorias hasta aclarar el pagador (cap. 2).</w:t>
      </w:r>
    </w:p>
    <w:p>
      <w:pPr>
        <w:pStyle w:val="ListBullet"/>
      </w:pPr>
      <w:r>
        <w:rPr>
          <w:b/>
        </w:rPr>
        <w:t xml:space="preserve">Relación con el cierre: </w:t>
      </w:r>
      <w:r>
        <w:t>el cierre de mes exige la conciliación al día — es uno de los puntos del checklist (cap. 11).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7 · Tesorería → Conciliación Bancaria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La bandeja con movimientos calzados y alguno pendiente.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Libro de compras: del SII al auxiliar (RCV)</w:t>
      </w:r>
    </w:p>
    <w:p>
      <w:r>
        <w:rPr>
          <w:b w:val="0"/>
          <w:i w:val="0"/>
        </w:rPr>
        <w:t>Dejar de digitar facturas de proveedores una por una: el SII ya tiene el detalle (RUT, folio, fechas, neto, IVA, total); el sistema lo trae y lo convierte en documentos del auxiliar con su asiento. El F29 sale del sistema porque el libro de compras se construye solo.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Contabilidad → Libros Auxiliares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El Contador revisa y confirma · la sincronización la hace el sistema solo (cada 2 días)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ctb_libros_aux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Certificado digital y Clave Tributaria cargados · mes sin candado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Sincronizar</w:t>
      </w:r>
    </w:p>
    <w:p>
      <w:pPr>
        <w:ind w:left="340"/>
      </w:pPr>
      <w:r>
        <w:t>Botón "Sincronizar SII (RCV)" o automático cada 2 días (el plan gratuito da 30 consultas al mes). Deja un espejo de solo lectura del SII; reemplaza el mes completo, así que re-sincronizar siempre es seguro.</w:t>
      </w:r>
    </w:p>
    <w:p>
      <w:pPr>
        <w:spacing w:before="160" w:after="40"/>
      </w:pPr>
      <w:r>
        <w:rPr>
          <w:b/>
          <w:color w:val="012D70"/>
        </w:rPr>
        <w:t>Paso 2 — Ver la brecha</w:t>
      </w:r>
    </w:p>
    <w:p>
      <w:pPr>
        <w:ind w:left="340"/>
      </w:pPr>
      <w:r>
        <w:t>El banner muestra documentos del SII vs documentos del auxiliar. Esa diferencia es exactamente lo que falta por ingresar.</w:t>
      </w:r>
    </w:p>
    <w:p>
      <w:pPr>
        <w:spacing w:before="160" w:after="40"/>
      </w:pPr>
      <w:r>
        <w:rPr>
          <w:b/>
          <w:color w:val="012D70"/>
        </w:rPr>
        <w:t>Paso 3 — Traer del SII al auxiliar</w:t>
      </w:r>
    </w:p>
    <w:p>
      <w:pPr>
        <w:ind w:left="340"/>
      </w:pPr>
      <w:r>
        <w:t>Lista los documentos del mes que no están en el auxiliar. Folios y montos vienen del SII y no se editan; lo único que define el contador es la CUENTA DE GASTO. La cuenta se propone sola: la que ese proveedor usó más veces en el histórico. Un proveedor nuevo aparece en rojo, sin propuesta.</w:t>
      </w:r>
    </w:p>
    <w:p>
      <w:pPr>
        <w:spacing w:before="160" w:after="40"/>
      </w:pPr>
      <w:r>
        <w:rPr>
          <w:b/>
          <w:color w:val="012D70"/>
        </w:rPr>
        <w:t>Paso 4 — Confirmar</w:t>
      </w:r>
    </w:p>
    <w:p>
      <w:pPr>
        <w:ind w:left="340"/>
      </w:pPr>
      <w:r>
        <w:t>Cada documento entra con su asiento: DEBE gasto (neto+exento) + DEBE IVA crédito → HABER proveedores (total). Un documento que falla no bota a los demás: el resultado dice cuáles entraron y por qué se saltó cada otro.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8 · Libros Auxiliares → Traer del SII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diálogo con documentos pendientes y la cuenta propuesta por historial.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No se duplica: se busca por RUT + tipo de DTE + folio en TODO el auxiliar, no solo en el mes. Las notas de crédito (tipo 61) NO se importan — en el auxiliar van con signo negativo y se digitan aparte. Ingresar por RCV usa el mismo motor que la digitación manual, así que las validaciones son idénticas por los dos caminos.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SII (RCV) → ESPEJO → REVISIÓN DE CUENTAS → AUXILIAR + ASIENTO → F29</w:t>
      </w:r>
    </w:p>
    <w:p>
      <w:r>
        <w:br w:type="page"/>
      </w:r>
    </w:p>
    <w:p>
      <w:pPr>
        <w:pStyle w:val="Heading1"/>
      </w:pPr>
      <w:r>
        <w:t>10. Provisiones y castigos</w:t>
      </w:r>
    </w:p>
    <w:p>
      <w:r>
        <w:rPr>
          <w:b w:val="0"/>
          <w:i w:val="0"/>
        </w:rPr>
        <w:t>La provisión reconoce contablemente el riesgo de la cartera morosa; el castigo da de baja la operación incobrable. La primera es automática; el segundo, deliberadamente manual.</w:t>
      </w:r>
    </w:p>
    <w:p>
      <w:pPr>
        <w:pStyle w:val="ListBullet"/>
      </w:pPr>
      <w:r>
        <w:rPr>
          <w:b/>
        </w:rPr>
        <w:t xml:space="preserve">Provisiones automáticas: </w:t>
      </w:r>
      <w:r>
        <w:t>si nadie las guarda a mano, el sistema cierra solo el mes anterior (día configurable), genera el asiento por la variación (constitución o liberación) y deja el detalle por crédito auditable. Los tramos viven en Parámetros de Cobranza.</w:t>
      </w:r>
    </w:p>
    <w:p>
      <w:pPr>
        <w:pStyle w:val="ListBullet"/>
      </w:pPr>
      <w:r>
        <w:rPr>
          <w:b/>
        </w:rPr>
        <w:t xml:space="preserve">Castigo: </w:t>
      </w:r>
      <w:r>
        <w:t>baja contable de la operación, SIEMPRE manual y con doble firma gerencial. Nunca automático. Genera su asiento por regla de centralización.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9 · Tesorería → Provisiones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mes con su provisión calculada y el detalle por tramo.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Cierre de Mes</w:t>
      </w:r>
    </w:p>
    <w:p>
      <w:r>
        <w:rPr>
          <w:b w:val="0"/>
          <w:i w:val="0"/>
        </w:rPr>
        <w:t>Cerrar el mes con todos los controles dados y las cifras congeladas: el candado que hace confiable la contabilidad y los informes a la matriz.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Tesorería → Cierre de Mes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Cada responsable de punto (checklist) · quien tiene la atribución CERRAR MES · el sistema (provisiones y chequeos automáticos)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Atribución CERRAR MES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Checklist configurado (responsables, días hábiles) · tramos de provisión configurados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Checklist</w:t>
      </w:r>
    </w:p>
    <w:p>
      <w:pPr>
        <w:ind w:left="340"/>
      </w:pPr>
      <w:r>
        <w:t>Cada responsable da su OK; varios puntos se chequean solos (conciliación, transitorias, cartolas, comisiones, castigos). Correo diario con los vencidos hasta cumplir.</w:t>
      </w:r>
    </w:p>
    <w:p>
      <w:pPr>
        <w:spacing w:before="160" w:after="40"/>
      </w:pPr>
      <w:r>
        <w:rPr>
          <w:b/>
          <w:color w:val="012D70"/>
        </w:rPr>
        <w:t>Paso 2 — CERRAR MES</w:t>
      </w:r>
    </w:p>
    <w:p>
      <w:pPr>
        <w:ind w:left="340"/>
      </w:pPr>
      <w:r>
        <w:t>Con los obligatorios en verde: candado contable + acta congelada (quién dio cada OK) + correo del acta a los destinatarios.</w:t>
      </w:r>
    </w:p>
    <w:p>
      <w:pPr>
        <w:spacing w:before="160" w:after="40"/>
      </w:pPr>
      <w:r>
        <w:rPr>
          <w:b/>
          <w:color w:val="012D70"/>
        </w:rPr>
        <w:t>Paso 3 — Informe a la matriz</w:t>
      </w:r>
    </w:p>
    <w:p>
      <w:pPr>
        <w:ind w:left="340"/>
      </w:pPr>
      <w:r>
        <w:t>El Informe de Cierre Mensual sale de Contabilidad, con la Bitácora de Cierres y su análisis de 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10 · Tesorería → Cierre de Mes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checklist con puntos en verde y el botón de cierre.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Cerrado el mes, todo lo retroactivo queda bloqueado: los recálculos respetan meses cerrados y las operaciones de ese mes no se editan. Lo que haya que corregir de un mes cerrado va por procesos formales, nunca reabriendo.</w:t>
            </w:r>
          </w:p>
        </w:tc>
      </w:tr>
    </w:tbl>
    <w:p>
      <w:pPr>
        <w:spacing w:after="40"/>
      </w:pP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MES ABIERTO → PUNTOS EN VERDE → CERRADO (CANDADO) → ACTA ENVIADA</w:t>
      </w:r>
    </w:p>
    <w:p>
      <w:r>
        <w:br w:type="page"/>
      </w:r>
    </w:p>
    <w:p>
      <w:pPr>
        <w:pStyle w:val="Heading1"/>
      </w:pPr>
      <w:r>
        <w:t>Anexo A.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75"/>
            <w:shd w:val="clear" w:fill="012D70"/>
          </w:tcPr>
          <w:p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3175"/>
            <w:shd w:val="clear" w:fill="012D70"/>
          </w:tcPr>
          <w:p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005"/>
            <w:shd w:val="clear" w:fill="012D70"/>
          </w:tcPr>
          <w:p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Un movimiento quedó SIN_REGLA en el log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Falta la regla de centralización de ese hecho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Crearla en Reglas de Centralización; el log es la lista de pendientes (cap. 1)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Un abono del banco no calza con nada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Pagador no identificado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Cuentas Transitorias; aplicar al aclarar (cap. 2 y 8)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La factura del dealer no cuadra con la cartola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El dealer facturó otro monto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Se rechaza con la diferencia; debe facturar el TOTAL de la cartola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No puedo pagar una ODP que emití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Segregación de funciones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Debe pagarla otro usuario (cap. 4)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El RCV no trae documentos nuevos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Cuota mensual del SII agotada o certificado vencido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Revisar el log de sincronización (cap. 9)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Un documento del RCV no entró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Duplicado (RUT+tipo+folio ya existe) o folio inválido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El resultado de la importación dice el motivo (cap. 9)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No se puede cerrar el mes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Puntos obligatorios del checklist pendientes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El checklist dice cuáles y quién es responsable (cap. 11)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Una cuota cobrada muestra otra mora que el certificado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No puede pasar: es el mismo motor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Si pasa, reportar a TI de inmediato — es un bug (cap. 2)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B.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438"/>
            <w:shd w:val="clear" w:fill="012D70"/>
          </w:tcPr>
          <w:p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6917"/>
            <w:shd w:val="clear" w:fill="012D70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Devengo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Reconocimiento del gasto/ingreso cuando nace la obligación, antes del pago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ODP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Orden de pago, correlativo único global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Cuenta de paso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Cuenta que refleja plata en tránsito; no toca resultado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RCV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Registro de Compras y Ventas del SII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Auxiliar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Libro operativo de compras/honorarios del sistema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F29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Declaración mensual de impuestos; se arma con los datos del sistema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Regla de centralización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Definición paramétrica de qué asiento genera cada hecho económico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Idempotente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Ejecutar dos veces produce el mismo resultado: no duplica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Candado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Bloqueo del mes cerrado: nada retroactivo se toca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Provisión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Reconocimiento contable del riesgo de la cartera morosa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Castigo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Baja contable de una operación incobrable; doble firma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Transitoria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Cuenta donde espera un abono cuyo pagador no está claro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SLA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Plazo comprometido de pago del saldo precio (24/48/72 h hábiles según categoría)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C. Capturas pendientes de esta versión</w:t>
      </w:r>
    </w:p>
    <w:p>
      <w:r>
        <w:rPr>
          <w:b w:val="0"/>
          <w:i w:val="0"/>
        </w:rPr>
        <w:t>Recorrer las pantallas en este orden y reemplazar cada recuadro gris: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val="clear" w:fill="012D70"/>
          </w:tcPr>
          <w:p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type="dxa" w:w="3572"/>
            <w:shd w:val="clear" w:fill="012D70"/>
          </w:tcPr>
          <w:p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type="dxa" w:w="5102"/>
            <w:shd w:val="clear" w:fill="012D70"/>
          </w:tcPr>
          <w:p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Contabilidad → log de eventos contables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log con eventos CONTABILIZADO y alguno SIN_REGLA si existe.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Caja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 crédito con sus cuotas, una pagada con timbre y el detalle de mora del motor.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Aplicación de Fondos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propuesta ítem por ítem con sus firmas.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Órdenes de Pago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ledger de ODP con sus estados y correlativo.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Saldo Precio en Proceso de Pago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La card con operaciones en distintos estados y sus SLA.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Plan Liquidez → Hoja de Liquidación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hoja con sus líneas por dealer y la cadena de firmas.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Conciliación Bancaria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La bandeja con movimientos calzados y alguno pendiente.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Libros Auxiliares → Traer del SII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diálogo con documentos pendientes y la cuenta propuesta por historial.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Provisiones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mes con su provisión calculada y el detalle por tramo.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Tesorería → Cierre de Mes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checklist con puntos en verde y el botón de cierre.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141A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