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41A2"/>
          <w:sz w:val="36"/>
        </w:rPr>
        <w:t>TE PRESENTAMOS</w:t>
      </w:r>
    </w:p>
    <w:p>
      <w:pPr>
        <w:jc w:val="center"/>
      </w:pPr>
      <w:r>
        <w:rPr>
          <w:b/>
          <w:i w:val="0"/>
          <w:color w:val="012D70"/>
          <w:sz w:val="68"/>
        </w:rPr>
        <w:t>BUSINESS SUITE</w:t>
      </w:r>
    </w:p>
    <w:p>
      <w:pPr>
        <w:spacing w:after="520"/>
      </w:pPr>
    </w:p>
    <w:p>
      <w:pPr>
        <w:jc w:val="center"/>
      </w:pPr>
      <w:r>
        <w:rPr>
          <w:b w:val="0"/>
          <w:i w:val="0"/>
          <w:color w:val="475569"/>
          <w:sz w:val="24"/>
        </w:rPr>
        <w:t>El sistema que administra el negocio completo de AutoFácil:</w:t>
      </w:r>
    </w:p>
    <w:p>
      <w:pPr>
        <w:jc w:val="center"/>
      </w:pPr>
      <w:r>
        <w:rPr>
          <w:b w:val="0"/>
          <w:i w:val="0"/>
          <w:color w:val="475569"/>
          <w:sz w:val="24"/>
        </w:rPr>
        <w:t>de la prospección del cliente a la contabilidad, en una sola plataforma.</w:t>
      </w:r>
    </w:p>
    <w:p/>
    <w:p/>
    <w:p/>
    <w:p/>
    <w:p/>
    <w:p/>
    <w:p>
      <w:pPr>
        <w:jc w:val="center"/>
      </w:pPr>
      <w:r>
        <w:rPr>
          <w:b w:val="0"/>
          <w:i w:val="0"/>
          <w:color w:val="9AA0A6"/>
          <w:sz w:val="22"/>
        </w:rPr>
        <w:t>Versión 1.0 · Agosto 2026</w:t>
      </w:r>
    </w:p>
    <w:p>
      <w:pPr>
        <w:jc w:val="center"/>
      </w:pPr>
      <w:r>
        <w:rPr>
          <w:b w:val="0"/>
          <w:i w:val="0"/>
          <w:color w:val="9AA0A6"/>
          <w:sz w:val="20"/>
        </w:rPr>
        <w:t>AutoFácil Crédito Automotriz</w:t>
      </w:r>
    </w:p>
    <w:p>
      <w:r>
        <w:br w:type="page"/>
      </w:r>
    </w:p>
    <w:p>
      <w:pPr>
        <w:pStyle w:val="Heading1"/>
      </w:pPr>
      <w:r>
        <w:t>1. Qué es Business Suite</w:t>
      </w:r>
    </w:p>
    <w:p>
      <w:r>
        <w:rPr>
          <w:b w:val="0"/>
          <w:i w:val="0"/>
        </w:rPr>
        <w:t>Business Suite es el sistema de gestión integral de AutoFácil, construido a la medida del negocio de crédito automotriz. En una sola plataforma web viven la venta, la evaluación, la originación, el pago a la red de dealers, la cobranza, la contabilidad, las personas y el gobierno del sistema — lo que antes exigía un sistema contable externo, decenas de planillas Excel y correos que nadie podía auditar.</w:t>
      </w:r>
    </w:p>
    <w:p>
      <w:r>
        <w:rPr>
          <w:b w:val="0"/>
          <w:i w:val="0"/>
        </w:rPr>
        <w:t>Opera en producción desde el 1 de agosto de 2026 con toda la operación diaria adentro: más de 18.000 operaciones administradas, la red completa de dealers, y cada acción crítica registrada en auditoría. Corre en la nube, no requiere instalación, y funciona igual en el computador de la oficina, el celular del ejecutivo en terreno y la pantalla del directorio.</w:t>
      </w:r>
    </w:p>
    <w:p>
      <w:pPr>
        <w:pStyle w:val="Heading2"/>
      </w:pPr>
      <w:r>
        <w:t>1.1 La idea central</w:t>
      </w:r>
    </w:p>
    <w:tbl>
      <w:tblPr>
        <w:tblW w:type="auto" w:w="0"/>
        <w:jc w:val="center"/>
        <w:tblLook w:firstColumn="1" w:firstRow="1" w:lastColumn="0" w:lastRow="0" w:noHBand="0" w:noVBand="1" w:val="04A0"/>
      </w:tblPr>
      <w:tblGrid>
        <w:gridCol w:w="9354"/>
      </w:tblGrid>
      <w:tr>
        <w:tc>
          <w:tcPr>
            <w:tcW w:type="dxa" w:w="9354"/>
            <w:shd w:val="clear" w:fill="EFF6FF"/>
          </w:tcPr>
          <w:p>
            <w:r>
              <w:rPr>
                <w:b/>
                <w:color w:val="012D70"/>
                <w:sz w:val="21"/>
              </w:rPr>
              <w:t>Un solo lugar, una sola verdad</w:t>
            </w:r>
          </w:p>
          <w:p>
            <w:pPr>
              <w:spacing w:after="40"/>
            </w:pPr>
            <w:r>
              <w:rPr>
                <w:sz w:val="21"/>
              </w:rPr>
              <w:t>Cada dato del negocio vive en un solo lugar y cada cálculo se hace en un solo motor. La cuota que ve el cliente, la que cobra la caja y la que muestra el certificado son EL MISMO número, porque salen de la misma función. Cuando algo se corrige, se corrige una vez y queda corregido en todas partes.</w:t>
            </w:r>
          </w:p>
        </w:tc>
      </w:tr>
    </w:tbl>
    <w:p>
      <w:pPr>
        <w:spacing w:after="40"/>
      </w:pPr>
    </w:p>
    <w:p>
      <w:r>
        <w:rPr>
          <w:b w:val="0"/>
          <w:i w:val="0"/>
        </w:rPr>
        <w:t>Esa idea se sostiene en cuatro máximas de construcción, que son la personalidad del sistema:</w:t>
      </w:r>
    </w:p>
    <w:p>
      <w:pPr>
        <w:pStyle w:val="ListBullet"/>
      </w:pPr>
      <w:r>
        <w:rPr>
          <w:b/>
        </w:rPr>
        <w:t xml:space="preserve">Un solo motor por cálculo: </w:t>
      </w:r>
      <w:r>
        <w:t>cada magnitud (cuota, mora, comisión, rentabilidad) tiene una única función que usan todas las pantallas.</w:t>
      </w:r>
    </w:p>
    <w:p>
      <w:pPr>
        <w:pStyle w:val="ListBullet"/>
      </w:pPr>
      <w:r>
        <w:rPr>
          <w:b/>
        </w:rPr>
        <w:t xml:space="preserve">Una sola fuente de datos: </w:t>
      </w:r>
      <w:r>
        <w:t>nombres, direcciones, comisiones y estados tienen un hogar autoritativo; todo lo demás lo referencia, nunca lo copia.</w:t>
      </w:r>
    </w:p>
    <w:p>
      <w:pPr>
        <w:pStyle w:val="ListBullet"/>
      </w:pPr>
      <w:r>
        <w:rPr>
          <w:b/>
        </w:rPr>
        <w:t xml:space="preserve">Todo proceso nace documentado: </w:t>
      </w:r>
      <w:r>
        <w:t>cada proceso se documenta en el mismo momento en que se construye. La Suite de Documentación es parte del sistema, no un anexo.</w:t>
      </w:r>
    </w:p>
    <w:p>
      <w:pPr>
        <w:pStyle w:val="ListBullet"/>
      </w:pPr>
      <w:r>
        <w:rPr>
          <w:b/>
        </w:rPr>
        <w:t xml:space="preserve">Todo movimiento se contabiliza: </w:t>
      </w:r>
      <w:r>
        <w:t>cada peso que entra o sale genera su asiento contable automático. La contabilidad se construye sola desde la operación.</w:t>
      </w:r>
    </w:p>
    <w:p>
      <w:pPr>
        <w:pStyle w:val="Heading2"/>
      </w:pPr>
      <w:r>
        <w:t>1.2 Paramétrico: el Administrador manda, no el programador</w:t>
      </w:r>
    </w:p>
    <w:p>
      <w:r>
        <w:rPr>
          <w:b w:val="0"/>
          <w:i w:val="0"/>
        </w:rPr>
        <w:t>El principio rector es que el usuario Administrador pueda modificar el negocio sin tocar código: tasas, comisiones, umbrales, estados, plantillas de correo, permisos, plazos y textos viven en MANTENEDORES — pantallas de configuración con su permiso y su trazabilidad. El flujo de los procesos está protegido (las validaciones y atribuciones no se pueden saltar), pero su contenido se ajusta desde la pantalla. Cada mantenedor termina con un recuadro "Qué afecta este mantenedor" que dice exactamente qué proceso impacta cada variable.</w:t>
      </w:r>
    </w:p>
    <w:p>
      <w:r>
        <w:br w:type="page"/>
      </w:r>
    </w:p>
    <w:p>
      <w:pPr>
        <w:pStyle w:val="Heading1"/>
      </w:pPr>
      <w:r>
        <w:t>2. Los beneficios, en concreto</w:t>
      </w:r>
    </w:p>
    <w:tbl>
      <w:tblPr>
        <w:tblStyle w:val="TableGrid"/>
        <w:tblW w:type="auto" w:w="0"/>
        <w:jc w:val="center"/>
        <w:tblLook w:firstColumn="1" w:firstRow="1" w:lastColumn="0" w:lastRow="0" w:noHBand="0" w:noVBand="1" w:val="04A0"/>
      </w:tblPr>
      <w:tblGrid>
        <w:gridCol w:w="4703"/>
        <w:gridCol w:w="4703"/>
      </w:tblGrid>
      <w:tr>
        <w:tc>
          <w:tcPr>
            <w:tcW w:type="dxa" w:w="2041"/>
            <w:shd w:val="clear" w:fill="012D70"/>
          </w:tcPr>
          <w:p>
            <w:r>
              <w:rPr>
                <w:b/>
                <w:color w:val="FFFFFF"/>
                <w:sz w:val="19"/>
              </w:rPr>
              <w:t>Beneficio</w:t>
            </w:r>
          </w:p>
        </w:tc>
        <w:tc>
          <w:tcPr>
            <w:tcW w:type="dxa" w:w="7313"/>
            <w:shd w:val="clear" w:fill="012D70"/>
          </w:tcPr>
          <w:p>
            <w:r>
              <w:rPr>
                <w:b/>
                <w:color w:val="FFFFFF"/>
                <w:sz w:val="19"/>
              </w:rPr>
              <w:t>Cómo se materializa</w:t>
            </w:r>
          </w:p>
        </w:tc>
      </w:tr>
      <w:tr>
        <w:tc>
          <w:tcPr>
            <w:tcW w:type="dxa" w:w="2041"/>
          </w:tcPr>
          <w:p>
            <w:r>
              <w:rPr>
                <w:sz w:val="19"/>
              </w:rPr>
              <w:t>Consistencia</w:t>
            </w:r>
          </w:p>
        </w:tc>
        <w:tc>
          <w:tcPr>
            <w:tcW w:type="dxa" w:w="7313"/>
          </w:tcPr>
          <w:p>
            <w:r>
              <w:rPr>
                <w:sz w:val="19"/>
              </w:rPr>
              <w:t>El mismo número en todas las pantallas: motores únicos y fuente única de datos. Se acabaron las planillas que no cuadran</w:t>
            </w:r>
          </w:p>
        </w:tc>
      </w:tr>
      <w:tr>
        <w:tc>
          <w:tcPr>
            <w:tcW w:type="dxa" w:w="2041"/>
          </w:tcPr>
          <w:p>
            <w:r>
              <w:rPr>
                <w:sz w:val="19"/>
              </w:rPr>
              <w:t>Velocidad</w:t>
            </w:r>
          </w:p>
        </w:tc>
        <w:tc>
          <w:tcPr>
            <w:tcW w:type="dxa" w:w="7313"/>
          </w:tcPr>
          <w:p>
            <w:r>
              <w:rPr>
                <w:sz w:val="19"/>
              </w:rPr>
              <w:t>La carta se aprueba sola cuando cuadra (Revisor Automático); la cartola se arma sola; la contabilidad se centraliza sola; el bot cotiza solo</w:t>
            </w:r>
          </w:p>
        </w:tc>
      </w:tr>
      <w:tr>
        <w:tc>
          <w:tcPr>
            <w:tcW w:type="dxa" w:w="2041"/>
          </w:tcPr>
          <w:p>
            <w:r>
              <w:rPr>
                <w:sz w:val="19"/>
              </w:rPr>
              <w:t>Control</w:t>
            </w:r>
          </w:p>
        </w:tc>
        <w:tc>
          <w:tcPr>
            <w:tcW w:type="dxa" w:w="7313"/>
          </w:tcPr>
          <w:p>
            <w:r>
              <w:rPr>
                <w:sz w:val="19"/>
              </w:rPr>
              <w:t>Doble firma donde hay plata (anulaciones, castigos, pagos), segregación de funciones en el servidor, y auditoría de cada acción crítica</w:t>
            </w:r>
          </w:p>
        </w:tc>
      </w:tr>
      <w:tr>
        <w:tc>
          <w:tcPr>
            <w:tcW w:type="dxa" w:w="2041"/>
          </w:tcPr>
          <w:p>
            <w:r>
              <w:rPr>
                <w:sz w:val="19"/>
              </w:rPr>
              <w:t>Trazabilidad</w:t>
            </w:r>
          </w:p>
        </w:tc>
        <w:tc>
          <w:tcPr>
            <w:tcW w:type="dxa" w:w="7313"/>
          </w:tcPr>
          <w:p>
            <w:r>
              <w:rPr>
                <w:sz w:val="19"/>
              </w:rPr>
              <w:t>Toda decisión queda con quién, cuándo y por qué: bitácoras inmutables, firmas electrónicas con huella, documentos verificables con QR</w:t>
            </w:r>
          </w:p>
        </w:tc>
      </w:tr>
      <w:tr>
        <w:tc>
          <w:tcPr>
            <w:tcW w:type="dxa" w:w="2041"/>
          </w:tcPr>
          <w:p>
            <w:r>
              <w:rPr>
                <w:sz w:val="19"/>
              </w:rPr>
              <w:t>Autonomía del negocio</w:t>
            </w:r>
          </w:p>
        </w:tc>
        <w:tc>
          <w:tcPr>
            <w:tcW w:type="dxa" w:w="7313"/>
          </w:tcPr>
          <w:p>
            <w:r>
              <w:rPr>
                <w:sz w:val="19"/>
              </w:rPr>
              <w:t>Los parámetros se cambian en mantenedores, sin programador y sin ventanas de mantención</w:t>
            </w:r>
          </w:p>
        </w:tc>
      </w:tr>
      <w:tr>
        <w:tc>
          <w:tcPr>
            <w:tcW w:type="dxa" w:w="2041"/>
          </w:tcPr>
          <w:p>
            <w:r>
              <w:rPr>
                <w:sz w:val="19"/>
              </w:rPr>
              <w:t>Menos digitación</w:t>
            </w:r>
          </w:p>
        </w:tc>
        <w:tc>
          <w:tcPr>
            <w:tcW w:type="dxa" w:w="7313"/>
          </w:tcPr>
          <w:p>
            <w:r>
              <w:rPr>
                <w:sz w:val="19"/>
              </w:rPr>
              <w:t>Los documentos se leen solos (cartas PDF, RCV del SII, pantallazos), lo leído se pre-llena, y lo que falta cae a una cola ordenada</w:t>
            </w:r>
          </w:p>
        </w:tc>
      </w:tr>
      <w:tr>
        <w:tc>
          <w:tcPr>
            <w:tcW w:type="dxa" w:w="2041"/>
          </w:tcPr>
          <w:p>
            <w:r>
              <w:rPr>
                <w:sz w:val="19"/>
              </w:rPr>
              <w:t>Autoservicio</w:t>
            </w:r>
          </w:p>
        </w:tc>
        <w:tc>
          <w:tcPr>
            <w:tcW w:type="dxa" w:w="7313"/>
          </w:tcPr>
          <w:p>
            <w:r>
              <w:rPr>
                <w:sz w:val="19"/>
              </w:rPr>
              <w:t>El dealer ve sus pagos en su portal, el cliente sus cuotas en el suyo, el colaborador sus solicitudes en su ficha — menos llamadas para preguntar</w:t>
            </w:r>
          </w:p>
        </w:tc>
      </w:tr>
      <w:tr>
        <w:tc>
          <w:tcPr>
            <w:tcW w:type="dxa" w:w="2041"/>
          </w:tcPr>
          <w:p>
            <w:r>
              <w:rPr>
                <w:sz w:val="19"/>
              </w:rPr>
              <w:t>Cumplimiento</w:t>
            </w:r>
          </w:p>
        </w:tc>
        <w:tc>
          <w:tcPr>
            <w:tcW w:type="dxa" w:w="7313"/>
          </w:tcPr>
          <w:p>
            <w:r>
              <w:rPr>
                <w:sz w:val="19"/>
              </w:rPr>
              <w:t>Ley del Consumidor en cobranza, Código del Trabajo en RRHH, SII en lo tributario: las reglas legales están cableadas en los motores</w:t>
            </w:r>
          </w:p>
        </w:tc>
      </w:tr>
    </w:tbl>
    <w:p>
      <w:pPr>
        <w:spacing w:after="40"/>
      </w:pPr>
    </w:p>
    <w:p>
      <w:r>
        <w:br w:type="page"/>
      </w:r>
    </w:p>
    <w:p>
      <w:pPr>
        <w:pStyle w:val="Heading1"/>
      </w:pPr>
      <w:r>
        <w:t>3. La operatoria: el viaje de una operación</w:t>
      </w:r>
    </w:p>
    <w:p>
      <w:r>
        <w:rPr>
          <w:b w:val="0"/>
          <w:i w:val="0"/>
        </w:rPr>
        <w:t>La mejor forma de entender el sistema es seguir el viaje del negocio. Cada estación del viaje es un conjunto de módulos, y cada módulo tiene su manual detallado en la Suite de Documentación.</w:t>
      </w:r>
    </w:p>
    <w:p>
      <w:pPr>
        <w:spacing w:before="120" w:after="120"/>
        <w:jc w:val="center"/>
      </w:pPr>
      <w:r>
        <w:rPr>
          <w:b/>
          <w:i w:val="0"/>
          <w:color w:val="0141A2"/>
          <w:sz w:val="21"/>
        </w:rPr>
        <w:t>PROSPECTAR → COTIZAR → EVALUAR → APROBAR → CURSAR → PAGAR AL CANAL → COBRAR → CONTABILIZAR</w:t>
      </w:r>
    </w:p>
    <w:p>
      <w:pPr>
        <w:pStyle w:val="Heading2"/>
      </w:pPr>
      <w:r>
        <w:t>3.1 Prospección y venta</w:t>
      </w:r>
    </w:p>
    <w:p>
      <w:pPr>
        <w:pStyle w:val="ListBullet"/>
      </w:pPr>
      <w:r>
        <w:rPr>
          <w:b/>
        </w:rPr>
        <w:t xml:space="preserve">CRM y Campañas: </w:t>
      </w:r>
      <w:r>
        <w:t>gestiones comerciales y campañas masivas por correo o WhatsApp, con deciles de control para medir si la campaña realmente movió la aguja. Cada contacto queda como gestión.</w:t>
      </w:r>
    </w:p>
    <w:p>
      <w:pPr>
        <w:pStyle w:val="ListBullet"/>
      </w:pPr>
      <w:r>
        <w:rPr>
          <w:b/>
        </w:rPr>
        <w:t xml:space="preserve">Facilito: </w:t>
      </w:r>
      <w:r>
        <w:t>el bot de WhatsApp del número oficial: cotiza con el motor real (nunca inventa cifras), pre-evalúa con informes, responde dónde pagar y deriva a ejecutivos cuando corresponde. Atiende 24/7.</w:t>
      </w:r>
    </w:p>
    <w:p>
      <w:pPr>
        <w:pStyle w:val="ListBullet"/>
      </w:pPr>
      <w:r>
        <w:rPr>
          <w:b/>
        </w:rPr>
        <w:t xml:space="preserve">Cotizaciones: </w:t>
      </w:r>
      <w:r>
        <w:t>precio, pie y plazo se convierten en cuota con gastos, seguros y CAE. Cuatro puertas (módulo, Simulador Rápido, portal del dealer, Facilito), un solo motor.</w:t>
      </w:r>
    </w:p>
    <w:p>
      <w:pPr>
        <w:pStyle w:val="ListBullet"/>
      </w:pPr>
      <w:r>
        <w:rPr>
          <w:b/>
        </w:rPr>
        <w:t xml:space="preserve">¿Dónde Curso?: </w:t>
      </w:r>
      <w:r>
        <w:t>la PWA que le dice al ejecutivo, en el patio, en qué financiera conviene cursar — elegibilidad primero, rentabilidad después. Elimina el "lucro cesante" de cursar donde no convenía.</w:t>
      </w:r>
    </w:p>
    <w:p>
      <w:pPr>
        <w:pStyle w:val="Heading2"/>
      </w:pPr>
      <w:r>
        <w:t>3.2 Evaluación y aprobación</w:t>
      </w:r>
    </w:p>
    <w:p>
      <w:pPr>
        <w:pStyle w:val="ListBullet"/>
      </w:pPr>
      <w:r>
        <w:rPr>
          <w:b/>
        </w:rPr>
        <w:t xml:space="preserve">Evaluación Crediticia: </w:t>
      </w:r>
      <w:r>
        <w:t>el RUT trae la ficha completa; los informes comerciales se piden en línea y la IA cruza renta, deudas y política de crédito para entregar el análisis.</w:t>
      </w:r>
    </w:p>
    <w:p>
      <w:pPr>
        <w:pStyle w:val="ListBullet"/>
      </w:pPr>
      <w:r>
        <w:rPr>
          <w:b/>
        </w:rPr>
        <w:t xml:space="preserve">Cartas de Aprobación: </w:t>
      </w:r>
      <w:r>
        <w:t>el documento que compromete las condiciones al dealer, con correlativo, firma electrónica y QR verificable. Se autocompleta desde el PDF de la financiera.</w:t>
      </w:r>
    </w:p>
    <w:p>
      <w:pPr>
        <w:pStyle w:val="ListBullet"/>
      </w:pPr>
      <w:r>
        <w:rPr>
          <w:b/>
        </w:rPr>
        <w:t xml:space="preserve">Revisor Automático: </w:t>
      </w:r>
      <w:r>
        <w:t>Business Suite compara el documento contra lo digitado y aprueba sola las cartas que cuadran, con checklist firmado. El analista humano queda para los casos con diferencias.</w:t>
      </w:r>
    </w:p>
    <w:p>
      <w:pPr>
        <w:pStyle w:val="ListBullet"/>
      </w:pPr>
      <w:r>
        <w:rPr>
          <w:b/>
        </w:rPr>
        <w:t xml:space="preserve">Excepciones Comerciales: </w:t>
      </w:r>
      <w:r>
        <w:t>cuando el negocio necesita salirse de la pizarra, el ejecutivo simula la jugada y el sistema mismo autoriza con un código si se respeta el piso de rentabilidad. Autoservicio con presupuesto de estrellas y auditoría.</w:t>
      </w:r>
    </w:p>
    <w:p>
      <w:pPr>
        <w:pStyle w:val="Heading2"/>
      </w:pPr>
      <w:r>
        <w:t>3.3 Curse y respaldo</w:t>
      </w:r>
    </w:p>
    <w:p>
      <w:pPr>
        <w:pStyle w:val="ListBullet"/>
      </w:pPr>
      <w:r>
        <w:rPr>
          <w:b/>
        </w:rPr>
        <w:t xml:space="preserve">Carga Masiva: </w:t>
      </w:r>
      <w:r>
        <w:t>la producción del canal entra por Excel con validador de anomalías, sin duplicar y con las diferencias acusadas para que una persona decida.</w:t>
      </w:r>
    </w:p>
    <w:p>
      <w:pPr>
        <w:pStyle w:val="ListBullet"/>
      </w:pPr>
      <w:r>
        <w:rPr>
          <w:b/>
        </w:rPr>
        <w:t xml:space="preserve">Digitación de Faltantes: </w:t>
      </w:r>
      <w:r>
        <w:t>lo incompleto cae a una cola con bloqueo por usuario y pre-llenado desde la carta.</w:t>
      </w:r>
    </w:p>
    <w:p>
      <w:pPr>
        <w:pStyle w:val="ListBullet"/>
      </w:pPr>
      <w:r>
        <w:rPr>
          <w:b/>
        </w:rPr>
        <w:t xml:space="preserve">Seguimiento de Fundantes: </w:t>
      </w:r>
      <w:r>
        <w:t>los documentos que la financiera exige para liberar los fondos, con matriz por financiera, validación de Operaciones, devoluciones y rendición semanal automática.</w:t>
      </w:r>
    </w:p>
    <w:p>
      <w:pPr>
        <w:pStyle w:val="Heading2"/>
      </w:pPr>
      <w:r>
        <w:t>3.4 Pago al canal (Post Venta)</w:t>
      </w:r>
    </w:p>
    <w:p>
      <w:pPr>
        <w:pStyle w:val="ListBullet"/>
      </w:pPr>
      <w:r>
        <w:rPr>
          <w:b/>
        </w:rPr>
        <w:t xml:space="preserve">Cartolas: </w:t>
      </w:r>
      <w:r>
        <w:t>el estado de cuenta mensual de comisiones de cada dealer y cada parque: se emite, se envía, el canal factura el total exacto y la orden de pago cierra el circuito. Cuadratura estricta: si la factura no calza, no avanza.</w:t>
      </w:r>
    </w:p>
    <w:p>
      <w:pPr>
        <w:pStyle w:val="ListBullet"/>
      </w:pPr>
      <w:r>
        <w:rPr>
          <w:b/>
        </w:rPr>
        <w:t xml:space="preserve">Saldos Precio: </w:t>
      </w:r>
      <w:r>
        <w:t>la plata del vehículo que pasa por AutoFácil hacia el dealer, con SLA por categoría (24/48/72 horas hábiles) y seguimiento en vivo en Tesorería.</w:t>
      </w:r>
    </w:p>
    <w:p>
      <w:pPr>
        <w:pStyle w:val="ListBullet"/>
      </w:pPr>
      <w:r>
        <w:rPr>
          <w:b/>
        </w:rPr>
        <w:t xml:space="preserve">Órdenes de Pago: </w:t>
      </w:r>
      <w:r>
        <w:t>toda salida de plata con correlativo único, doble control y segregación de funciones: quien emite no paga.</w:t>
      </w:r>
    </w:p>
    <w:p>
      <w:pPr>
        <w:pStyle w:val="ListBullet"/>
      </w:pPr>
      <w:r>
        <w:rPr>
          <w:b/>
        </w:rPr>
        <w:t xml:space="preserve">Plan Liquidez: </w:t>
      </w:r>
      <w:r>
        <w:t>el anticipo de comisiones de los dealers Super Partner, renovado mes a mes con cadena de aprobación.</w:t>
      </w:r>
    </w:p>
    <w:p>
      <w:pPr>
        <w:pStyle w:val="Heading2"/>
      </w:pPr>
      <w:r>
        <w:t>3.5 La cartera propia: recaudar</w:t>
      </w:r>
    </w:p>
    <w:p>
      <w:pPr>
        <w:pStyle w:val="ListBullet"/>
      </w:pPr>
      <w:r>
        <w:rPr>
          <w:b/>
        </w:rPr>
        <w:t xml:space="preserve">Cajas: </w:t>
      </w:r>
      <w:r>
        <w:t>el cajero busca el crédito, cobra cuotas individuales o en lote, y el comprobante sale timbrado. La mora y los gastos son los del motor único. Cierre de caja con cuadratura diaria.</w:t>
      </w:r>
    </w:p>
    <w:p>
      <w:pPr>
        <w:pStyle w:val="ListBullet"/>
      </w:pPr>
      <w:r>
        <w:rPr>
          <w:b/>
        </w:rPr>
        <w:t xml:space="preserve">Portal del Cliente: </w:t>
      </w:r>
      <w:r>
        <w:t>el cliente entra con su RUT y un código al correo, ve sus cuotas, su mora al día y sus comprobantes — los mismos valores de la caja.</w:t>
      </w:r>
    </w:p>
    <w:p>
      <w:pPr>
        <w:pStyle w:val="ListBullet"/>
      </w:pPr>
      <w:r>
        <w:rPr>
          <w:b/>
        </w:rPr>
        <w:t xml:space="preserve">Prepago y Aplicación de Fondos: </w:t>
      </w:r>
      <w:r>
        <w:t>saldar antes de plazo, al valor del motor o con descuento negociado por cadena de firmas. El orden de condonación está protegido: primero gastos, luego intereses, capital nunca.</w:t>
      </w:r>
    </w:p>
    <w:p>
      <w:pPr>
        <w:pStyle w:val="Heading2"/>
      </w:pPr>
      <w:r>
        <w:t>3.6 Cobranza: recuperar cumpliendo la ley</w:t>
      </w:r>
    </w:p>
    <w:p>
      <w:pPr>
        <w:pStyle w:val="ListBullet"/>
      </w:pPr>
      <w:r>
        <w:rPr>
          <w:b/>
        </w:rPr>
        <w:t xml:space="preserve">Mora temprana automática: </w:t>
      </w:r>
      <w:r>
        <w:t>correos por tramo y secuencias de WhatsApp actúan solos en los primeros días de atraso, con tope legal de gestiones bloqueado por sistema.</w:t>
      </w:r>
    </w:p>
    <w:p>
      <w:pPr>
        <w:pStyle w:val="ListBullet"/>
      </w:pPr>
      <w:r>
        <w:rPr>
          <w:b/>
        </w:rPr>
        <w:t xml:space="preserve">Pre-judicial y judicial: </w:t>
      </w:r>
      <w:r>
        <w:t>gestión humana con compromisos de pago, y la demanda con abogado, tribunal y etapa procesal cuando corresponde. Todo en la bitácora CRM.</w:t>
      </w:r>
    </w:p>
    <w:p>
      <w:pPr>
        <w:pStyle w:val="ListBullet"/>
      </w:pPr>
      <w:r>
        <w:rPr>
          <w:b/>
        </w:rPr>
        <w:t xml:space="preserve">Provisiones: </w:t>
      </w:r>
      <w:r>
        <w:t>cada tramo de mora provisiona su porcentaje automáticamente al cierre; el asiento va por la variación mensual.</w:t>
      </w:r>
    </w:p>
    <w:p>
      <w:pPr>
        <w:pStyle w:val="ListBullet"/>
      </w:pPr>
      <w:r>
        <w:rPr>
          <w:b/>
        </w:rPr>
        <w:t xml:space="preserve">Castigo y recupero: </w:t>
      </w:r>
      <w:r>
        <w:t>la baja contable del incobrable es deliberadamente manual, con doble firma gerencial. Y si el castigado paga después, el RECUPERO entra por caja como cualquier abono y genera su asiento — la historia del crédito nunca se pierde.</w:t>
      </w:r>
    </w:p>
    <w:p>
      <w:pPr>
        <w:pStyle w:val="Heading2"/>
      </w:pPr>
      <w:r>
        <w:t>3.7 Contabilidad: el reemplazo del sistema externo</w:t>
      </w:r>
    </w:p>
    <w:p>
      <w:pPr>
        <w:pStyle w:val="ListBullet"/>
      </w:pPr>
      <w:r>
        <w:rPr>
          <w:b/>
        </w:rPr>
        <w:t xml:space="preserve">Centralización automática: </w:t>
      </w:r>
      <w:r>
        <w:t>cada hecho económico genera su asiento según reglas paramétricas. Devengo y pago son hechos separados; los impuestos van en el asiento; el motor nunca bloquea la operación.</w:t>
      </w:r>
    </w:p>
    <w:p>
      <w:pPr>
        <w:pStyle w:val="ListBullet"/>
      </w:pPr>
      <w:r>
        <w:rPr>
          <w:b/>
        </w:rPr>
        <w:t xml:space="preserve">Contabilidad completa: </w:t>
      </w:r>
      <w:r>
        <w:t>plan de cuentas, comprobantes, libros, balance y los libros históricos importados.</w:t>
      </w:r>
    </w:p>
    <w:p>
      <w:pPr>
        <w:pStyle w:val="ListBullet"/>
      </w:pPr>
      <w:r>
        <w:rPr>
          <w:b/>
        </w:rPr>
        <w:t xml:space="preserve">RCV del SII: </w:t>
      </w:r>
      <w:r>
        <w:t>las facturas de proveedores entran solas desde el Registro de Compras del SII, con la cuenta propuesta por historial. El F29 sale del sistema.</w:t>
      </w:r>
    </w:p>
    <w:p>
      <w:pPr>
        <w:pStyle w:val="ListBullet"/>
      </w:pPr>
      <w:r>
        <w:rPr>
          <w:b/>
        </w:rPr>
        <w:t xml:space="preserve">Cierre de Mes: </w:t>
      </w:r>
      <w:r>
        <w:t>checklist con responsables, provisiones automáticas, candado contable y acta congelada. Nada retroactivo se toca después del cierre.</w:t>
      </w:r>
    </w:p>
    <w:p>
      <w:pPr>
        <w:pStyle w:val="Heading2"/>
      </w:pPr>
      <w:r>
        <w:t>3.8 La red de dealers</w:t>
      </w:r>
    </w:p>
    <w:p>
      <w:pPr>
        <w:pStyle w:val="ListBullet"/>
      </w:pPr>
      <w:r>
        <w:rPr>
          <w:b/>
        </w:rPr>
        <w:t xml:space="preserve">Incorporación: </w:t>
      </w:r>
      <w:r>
        <w:t>ningún dealer opera sin ficha aprobada: informes, análisis IA, cadena de niveles y firma. Su tabla de comisiones rige desde el cierre.</w:t>
      </w:r>
    </w:p>
    <w:p>
      <w:pPr>
        <w:pStyle w:val="ListBullet"/>
      </w:pPr>
      <w:r>
        <w:rPr>
          <w:b/>
        </w:rPr>
        <w:t xml:space="preserve">Portal del Dealer: </w:t>
      </w:r>
      <w:r>
        <w:t>cada dealer ve sus operaciones, el estado de sus pagos, sus cartolas y una pre-aprobación en línea — sin ver jamás datos del cliente.</w:t>
      </w:r>
    </w:p>
    <w:p>
      <w:pPr>
        <w:pStyle w:val="ListBullet"/>
      </w:pPr>
      <w:r>
        <w:rPr>
          <w:b/>
        </w:rPr>
        <w:t xml:space="preserve">Atención Remota: </w:t>
      </w:r>
      <w:r>
        <w:t>chat en vivo con la mesa, envío de documentos y videollamada. Y el staff puede "ver como dealer" para dar soporte mirando la misma pantalla.</w:t>
      </w:r>
    </w:p>
    <w:p>
      <w:pPr>
        <w:pStyle w:val="ListBullet"/>
      </w:pPr>
      <w:r>
        <w:rPr>
          <w:b/>
        </w:rPr>
        <w:t xml:space="preserve">Ruta AutoFácil: </w:t>
      </w:r>
      <w:r>
        <w:t>las visitas a terreno con calendario, planificador de rutas óptimas, asignación de cartera y la app móvil con check-in GPS.</w:t>
      </w:r>
    </w:p>
    <w:p>
      <w:pPr>
        <w:pStyle w:val="Heading2"/>
      </w:pPr>
      <w:r>
        <w:t>3.9 Las personas</w:t>
      </w:r>
    </w:p>
    <w:p>
      <w:pPr>
        <w:pStyle w:val="ListBullet"/>
      </w:pPr>
      <w:r>
        <w:rPr>
          <w:b/>
        </w:rPr>
        <w:t xml:space="preserve">RRHH: </w:t>
      </w:r>
      <w:r>
        <w:t>el ciclo laboral completo sin papel: carta oferta, contrato con firma electrónica, remuneraciones con comisiones que llegan solas, vacaciones con cuenta corriente, asistencia contra el reloj control, evaluación de desempeño, y el finiquito con sus topes legales y aviso automático a Previred.</w:t>
      </w:r>
    </w:p>
    <w:p>
      <w:pPr>
        <w:pStyle w:val="ListBullet"/>
      </w:pPr>
      <w:r>
        <w:rPr>
          <w:b/>
        </w:rPr>
        <w:t xml:space="preserve">Comisiones: </w:t>
      </w:r>
      <w:r>
        <w:t>piso, incentivos y bonos por venta de seguros se calculan solos y van directo a la liquidación, con variables versionadas y bitácora.</w:t>
      </w:r>
    </w:p>
    <w:p>
      <w:pPr>
        <w:pStyle w:val="ListBullet"/>
      </w:pPr>
      <w:r>
        <w:rPr>
          <w:b/>
        </w:rPr>
        <w:t xml:space="preserve">Capacitación: </w:t>
      </w:r>
      <w:r>
        <w:t>la Academia enseña cada módulo a su ritmo, los cursos formales quedan en la ficha, el test vocacional apoya la selección, y los concursos hacen del aprendizaje un juego.</w:t>
      </w:r>
    </w:p>
    <w:p>
      <w:pPr>
        <w:pStyle w:val="ListBullet"/>
      </w:pPr>
      <w:r>
        <w:rPr>
          <w:b/>
        </w:rPr>
        <w:t xml:space="preserve">Compliance y clima: </w:t>
      </w:r>
      <w:r>
        <w:t>canal de denuncias confidencial con plazos legales (Ley Karin) y encuestas de clima anónimas con resultados agregados.</w:t>
      </w:r>
    </w:p>
    <w:p>
      <w:pPr>
        <w:pStyle w:val="Heading2"/>
      </w:pPr>
      <w:r>
        <w:t>3.10 Soporte y gobierno del sistema</w:t>
      </w:r>
    </w:p>
    <w:p>
      <w:pPr>
        <w:pStyle w:val="ListBullet"/>
      </w:pPr>
      <w:r>
        <w:rPr>
          <w:b/>
        </w:rPr>
        <w:t xml:space="preserve">Usuarios y permisos: </w:t>
      </w:r>
      <w:r>
        <w:t>perfiles y funcionalidades definen quién ve y hace qué. La matriz se administra en pantalla; el Administrador ve todo; los permisos sensibles se validan en el servidor.</w:t>
      </w:r>
    </w:p>
    <w:p>
      <w:pPr>
        <w:pStyle w:val="ListBullet"/>
      </w:pPr>
      <w:r>
        <w:rPr>
          <w:b/>
        </w:rPr>
        <w:t xml:space="preserve">Soporte interno: </w:t>
      </w:r>
      <w:r>
        <w:t>tickets de TI con SLA y escalamiento, compras internas con workflow de aprobación por niveles, y 15 flujos de escalamiento que suben solos por la jefatura cuando algo no se atiende.</w:t>
      </w:r>
    </w:p>
    <w:p>
      <w:pPr>
        <w:pStyle w:val="ListBullet"/>
      </w:pPr>
      <w:r>
        <w:rPr>
          <w:b/>
        </w:rPr>
        <w:t xml:space="preserve">Avisos: </w:t>
      </w:r>
      <w:r>
        <w:t>campanitas y correos paramétricos: qué evento avisa, a quién y con qué texto se configura, no se programa.</w:t>
      </w:r>
    </w:p>
    <w:p>
      <w:pPr>
        <w:pStyle w:val="ListBullet"/>
      </w:pPr>
      <w:r>
        <w:rPr>
          <w:b/>
        </w:rPr>
        <w:t xml:space="preserve">Auditoría y continuidad: </w:t>
      </w:r>
      <w:r>
        <w:t>cada acción crítica con quién, cuándo y desde dónde; consola SQL de solo lectura para respuestas rápidas; salud del sistema con monitoreo, respaldos diarios y un plan de contingencia ensayado.</w:t>
      </w:r>
    </w:p>
    <w:p>
      <w:pPr>
        <w:pStyle w:val="ListBullet"/>
      </w:pPr>
      <w:r>
        <w:rPr>
          <w:b/>
        </w:rPr>
        <w:t xml:space="preserve">Documentación: </w:t>
      </w:r>
      <w:r>
        <w:t>los documentos vivos (usuario, procesos, configuración, técnica) más la biblioteca Word por rol — este documento incluido.</w:t>
      </w:r>
    </w:p>
    <w:p>
      <w:r>
        <w:br w:type="page"/>
      </w:r>
    </w:p>
    <w:p>
      <w:pPr>
        <w:pStyle w:val="Heading1"/>
      </w:pPr>
      <w:r>
        <w:t>4. Dónde estamos y hacia dónde va</w:t>
      </w:r>
    </w:p>
    <w:p>
      <w:r>
        <w:rPr>
          <w:b w:val="0"/>
          <w:i w:val="0"/>
        </w:rPr>
        <w:t>Business Suite pasó de proyecto a columna vertebral de la operación: 30 usuarios diarios, la red completa de dealers, la contabilidad construyéndose sola y los procesos de personas dentro del sistema. Lo que sigue es profundidad: cerrar el reemplazo total del sistema contable externo (emisión electrónica ante el SII), extender el doble factor a todo el equipo, y seguir convirtiendo cada decisión repetitiva en un motor que decide solo y deja al equipo lo que de verdad necesita criterio humano.</w:t>
      </w:r>
    </w:p>
    <w:p>
      <w:r>
        <w:rPr>
          <w:b/>
          <w:i w:val="0"/>
        </w:rPr>
        <w:t>La regla que resume todo: si algo se hace dos veces igual, el sistema debería hacerlo; si algo requiere juicio, el sistema debería preparar todo para que la persona decida con la mejor información. Eso es Business Suite.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