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10151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b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015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</w:pPr>
    </w:p>
    <w:p>
      <w:pPr>
        <w:jc w:val="center"/>
      </w:pPr>
      <w:r>
        <w:rPr>
          <w:b/>
          <w:i w:val="0"/>
          <w:color w:val="012D70"/>
          <w:sz w:val="56"/>
        </w:rPr>
        <w:t>SEGURIDAD Y CONTINGENCIA</w:t>
      </w:r>
    </w:p>
    <w:p>
      <w:pPr>
        <w:jc w:val="center"/>
      </w:pPr>
      <w:r>
        <w:rPr>
          <w:b w:val="0"/>
          <w:i w:val="0"/>
          <w:color w:val="0141A2"/>
          <w:sz w:val="32"/>
        </w:rPr>
        <w:t>AutoFácil Business Suite</w:t>
      </w:r>
    </w:p>
    <w:p>
      <w:pPr>
        <w:spacing w:after="520"/>
      </w:pPr>
    </w:p>
    <w:p>
      <w:pPr>
        <w:jc w:val="center"/>
      </w:pPr>
      <w:r>
        <w:rPr>
          <w:b w:val="0"/>
          <w:i w:val="0"/>
          <w:color w:val="475569"/>
          <w:sz w:val="24"/>
        </w:rPr>
        <w:t>Quién entra, qué puede hacer, qué queda registrado,</w:t>
      </w:r>
    </w:p>
    <w:p>
      <w:pPr>
        <w:jc w:val="center"/>
      </w:pPr>
      <w:r>
        <w:rPr>
          <w:b w:val="0"/>
          <w:i w:val="0"/>
          <w:color w:val="475569"/>
          <w:sz w:val="24"/>
        </w:rPr>
        <w:t>y qué pasa si algo se cae.</w:t>
      </w:r>
    </w:p>
    <w:p/>
    <w:p/>
    <w:p/>
    <w:p/>
    <w:p/>
    <w:p/>
    <w:p>
      <w:pPr>
        <w:jc w:val="center"/>
      </w:pPr>
      <w:r>
        <w:rPr>
          <w:b w:val="0"/>
          <w:i w:val="0"/>
          <w:color w:val="9AA0A6"/>
          <w:sz w:val="22"/>
        </w:rPr>
        <w:t>Versión 1.0 · 17 de agosto de 2026</w:t>
      </w:r>
    </w:p>
    <w:p>
      <w:pPr>
        <w:jc w:val="center"/>
      </w:pPr>
      <w:r>
        <w:rPr>
          <w:b w:val="0"/>
          <w:i w:val="0"/>
          <w:color w:val="9AA0A6"/>
          <w:sz w:val="20"/>
        </w:rPr>
        <w:t>Documento interno — AutoFácil Crédito Automotriz. Distribución restringida.</w:t>
      </w:r>
    </w:p>
    <w:p>
      <w:r>
        <w:br w:type="page"/>
      </w:r>
    </w:p>
    <w:p>
      <w:pPr>
        <w:pStyle w:val="Heading1"/>
      </w:pPr>
      <w:r>
        <w:t>1. El modelo: capas que se respaldan entre sí</w:t>
      </w:r>
    </w:p>
    <w:p>
      <w:r>
        <w:rPr>
          <w:b w:val="0"/>
          <w:i w:val="0"/>
        </w:rPr>
        <w:t>La seguridad del sistema no depende de una sola barrera sino de capas: quién entra (autenticación), qué puede hacer (permisos), cómo se protege el proceso (validaciones y firmas), qué queda registrado (auditoría) y qué pasa si algo falla (contingencia). Un atacante — o un error honesto — tiene que atravesarlas todas.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val="clear" w:fill="FEE2E2"/>
          </w:tcPr>
          <w:p>
            <w:r>
              <w:rPr>
                <w:b/>
                <w:color w:val="B91C1C"/>
                <w:sz w:val="21"/>
              </w:rPr>
              <w:t>🔒 Regla del sistema</w:t>
            </w:r>
          </w:p>
          <w:p>
            <w:pPr>
              <w:spacing w:after="40"/>
            </w:pPr>
            <w:r>
              <w:rPr>
                <w:sz w:val="21"/>
              </w:rPr>
              <w:t>Regla de este documento: acá se describe la ARQUITECTURA de seguridad, nunca los secretos. Las cuentas especiales, códigos de respaldo y credenciales no se nombran en ningún documento escrito — quien deba conocerlos, los conoce por otro canal.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2. Seguridad interna: quién entra y qué puede hacer</w:t>
      </w:r>
    </w:p>
    <w:p>
      <w:pPr>
        <w:pStyle w:val="Heading2"/>
      </w:pPr>
      <w:r>
        <w:t>2.1 Autenticación</w:t>
      </w:r>
    </w:p>
    <w:p>
      <w:pPr>
        <w:pStyle w:val="ListBullet"/>
      </w:pPr>
      <w:r>
        <w:rPr>
          <w:b/>
        </w:rPr>
        <w:t xml:space="preserve">Política de claves: </w:t>
      </w:r>
      <w:r>
        <w:t>longitud mínima, complejidad, historial, vencimiento y aviso previo — todo paramétrico en Usuarios → Seguridad y aplicado EN EL SERVIDOR, no como sugerencia de pantalla.</w:t>
      </w:r>
    </w:p>
    <w:p>
      <w:pPr>
        <w:pStyle w:val="ListBullet"/>
      </w:pPr>
      <w:r>
        <w:rPr>
          <w:b/>
        </w:rPr>
        <w:t xml:space="preserve">Bloqueo por intentos: </w:t>
      </w:r>
      <w:r>
        <w:t>tras N intentos fallidos la cuenta se bloquea (paramétrico); el Administrador desbloquea. El login además tiene tope de intentos por minuto por IP.</w:t>
      </w:r>
    </w:p>
    <w:p>
      <w:pPr>
        <w:pStyle w:val="ListBullet"/>
      </w:pPr>
      <w:r>
        <w:rPr>
          <w:b/>
        </w:rPr>
        <w:t xml:space="preserve">Sesiones cortas: </w:t>
      </w:r>
      <w:r>
        <w:t>el token de sesión vive en la pestaña: cerrarla cierra la sesión. La inactividad también la cierra (minutos paramétricos).</w:t>
      </w:r>
    </w:p>
    <w:p>
      <w:pPr>
        <w:pStyle w:val="ListBullet"/>
      </w:pPr>
      <w:r>
        <w:rPr>
          <w:b/>
        </w:rPr>
        <w:t xml:space="preserve">Acceso de emergencia: </w:t>
      </w:r>
      <w:r>
        <w:t>existe una cuenta protegida de emergencia para recuperar el acceso si todo lo demás falla. Deliberadamente, ni su nombre ni su resguardo se documentan.</w:t>
      </w:r>
    </w:p>
    <w:p>
      <w:pPr>
        <w:pStyle w:val="ListBullet"/>
      </w:pPr>
      <w:r>
        <w:rPr>
          <w:b/>
        </w:rPr>
        <w:t xml:space="preserve">Verificación en dos pasos: </w:t>
      </w:r>
      <w:r>
        <w:t>activa en las cuentas que administran la infraestructura; la extensión a todo el equipo (~40 personas) está planificada con aviso y acompañamiento.</w:t>
      </w:r>
    </w:p>
    <w:p>
      <w:pPr>
        <w:pStyle w:val="Heading2"/>
      </w:pPr>
      <w:r>
        <w:t>2.2 Permisos: la matriz manda</w:t>
      </w:r>
    </w:p>
    <w:p>
      <w:r>
        <w:rPr>
          <w:b w:val="0"/>
          <w:i w:val="0"/>
        </w:rPr>
        <w:t>El acceso se gobierna por la matriz de Perfiles y Funcionalidades: cada card, botón y API sensible valida su código de permiso contra la base — con la regla de nunca hardcodear nombres de perfil en el código. El Administrador tiene bypass; todo el resto ve exactamente lo marcado. La visibilidad de datos también se acota: un ejecutivo ve SOLO sus ejecutivos asignados, un dealer SOLO su cartera, un cliente SOLO su RUT.</w:t>
      </w:r>
    </w:p>
    <w:p>
      <w:pPr>
        <w:pStyle w:val="Heading2"/>
      </w:pPr>
      <w:r>
        <w:t>2.3 Las fronteras: staff, dealers y clientes</w:t>
      </w:r>
    </w:p>
    <w:p>
      <w:r>
        <w:rPr>
          <w:b w:val="0"/>
          <w:i w:val="0"/>
        </w:rPr>
        <w:t>Los tres mundos usan tokens firmados con tipos distintos, y la frontera está en el middleware: un token de dealer es RECHAZADO por los endpoints internos del staff, y todo endpoint del portal acota por la identidad del token — el dato de quién pregunta sale del token, jamás del request. La auditoría de esta frontera (julio 2026) terminó con cero hallazgos de fuga entre dealers.</w:t>
      </w:r>
    </w:p>
    <w:p>
      <w:pPr>
        <w:pStyle w:val="ListBullet"/>
      </w:pPr>
      <w:r>
        <w:rPr>
          <w:b/>
        </w:rPr>
        <w:t xml:space="preserve">Anti-enumeración: </w:t>
      </w:r>
      <w:r>
        <w:t>los enrolamientos responden siempre lo mismo exista o no la cuenta, para no revelar qué RUT está registrado.</w:t>
      </w:r>
    </w:p>
    <w:p>
      <w:pPr>
        <w:pStyle w:val="ListBullet"/>
      </w:pPr>
      <w:r>
        <w:rPr>
          <w:b/>
        </w:rPr>
        <w:t xml:space="preserve">Llaves portadoras: </w:t>
      </w:r>
      <w:r>
        <w:t>los links de acceso directo son llaves portadoras regenerables y se guardan hasheados; los tokens de recuperación son de un solo uso y expiran.</w:t>
      </w:r>
    </w:p>
    <w:p>
      <w:pPr>
        <w:pStyle w:val="Heading2"/>
      </w:pPr>
      <w:r>
        <w:t>2.4 Seguridad perimetral</w:t>
      </w:r>
    </w:p>
    <w:p>
      <w:pPr>
        <w:pStyle w:val="ListBullet"/>
      </w:pPr>
      <w:r>
        <w:rPr>
          <w:b/>
        </w:rPr>
        <w:t xml:space="preserve">HTTPS forzado: </w:t>
      </w:r>
      <w:r>
        <w:t>todo el tráfico va cifrado, con HSTS de un año.</w:t>
      </w:r>
    </w:p>
    <w:p>
      <w:pPr>
        <w:pStyle w:val="ListBullet"/>
      </w:pPr>
      <w:r>
        <w:rPr>
          <w:b/>
        </w:rPr>
        <w:t xml:space="preserve">Rate limiting: </w:t>
      </w:r>
      <w:r>
        <w:t>TODA el API tiene techo de peticiones por usuario (600/min general, más estricto en reportería y contabilidad); el login, por IP. La oficina sale por una sola IP pública, por eso el límite general es por usuario.</w:t>
      </w:r>
    </w:p>
    <w:p>
      <w:pPr>
        <w:pStyle w:val="ListBullet"/>
      </w:pPr>
      <w:r>
        <w:rPr>
          <w:b/>
        </w:rPr>
        <w:t xml:space="preserve">Secretos fuera del código: </w:t>
      </w:r>
      <w:r>
        <w:t>las credenciales de integraciones viven como variables de entorno del servidor; el repositorio no contiene ningún secreto y el arranque exige las claves críticas.</w:t>
      </w:r>
    </w:p>
    <w:p>
      <w:r>
        <w:br w:type="page"/>
      </w:r>
    </w:p>
    <w:p>
      <w:pPr>
        <w:pStyle w:val="Heading1"/>
      </w:pPr>
      <w:r>
        <w:t>3. Seguridad de los procesos: el flujo protegido</w:t>
      </w:r>
    </w:p>
    <w:p>
      <w:r>
        <w:rPr>
          <w:b w:val="0"/>
          <w:i w:val="0"/>
        </w:rPr>
        <w:t>La parametrización abre el CONTENIDO del negocio, nunca su ESTRUCTURA: el orden de las etapas, las validaciones y las atribuciones están protegidas en el servidor.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fill="012D70"/>
          </w:tcPr>
          <w:p>
            <w:r>
              <w:rPr>
                <w:b/>
                <w:color w:val="FFFFFF"/>
                <w:sz w:val="19"/>
              </w:rPr>
              <w:t>Control</w:t>
            </w:r>
          </w:p>
        </w:tc>
        <w:tc>
          <w:tcPr>
            <w:tcW w:type="dxa" w:w="3515"/>
            <w:shd w:val="clear" w:fill="012D70"/>
          </w:tcPr>
          <w:p>
            <w:r>
              <w:rPr>
                <w:b/>
                <w:color w:val="FFFFFF"/>
                <w:sz w:val="19"/>
              </w:rPr>
              <w:t>Dónde aplica</w:t>
            </w:r>
          </w:p>
        </w:tc>
        <w:tc>
          <w:tcPr>
            <w:tcW w:type="dxa" w:w="3572"/>
            <w:shd w:val="clear" w:fill="012D70"/>
          </w:tcPr>
          <w:p>
            <w:r>
              <w:rPr>
                <w:b/>
                <w:color w:val="FFFFFF"/>
                <w:sz w:val="19"/>
              </w:rPr>
              <w:t>Qué impide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Doble firma</w:t>
            </w:r>
          </w:p>
        </w:tc>
        <w:tc>
          <w:tcPr>
            <w:tcW w:type="dxa" w:w="3515"/>
          </w:tcPr>
          <w:p>
            <w:r>
              <w:rPr>
                <w:sz w:val="19"/>
              </w:rPr>
              <w:t>Anulaciones, castigos, aplicaciones de fondos, incorporaciones con excepción</w:t>
            </w:r>
          </w:p>
        </w:tc>
        <w:tc>
          <w:tcPr>
            <w:tcW w:type="dxa" w:w="3572"/>
          </w:tcPr>
          <w:p>
            <w:r>
              <w:rPr>
                <w:sz w:val="19"/>
              </w:rPr>
              <w:t>Que una sola persona deje sin efecto plata comprometida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Segregación de funciones</w:t>
            </w:r>
          </w:p>
        </w:tc>
        <w:tc>
          <w:tcPr>
            <w:tcW w:type="dxa" w:w="3515"/>
          </w:tcPr>
          <w:p>
            <w:r>
              <w:rPr>
                <w:sz w:val="19"/>
              </w:rPr>
              <w:t>Todas las órdenes de pago; solicitudes vs aprobaciones</w:t>
            </w:r>
          </w:p>
        </w:tc>
        <w:tc>
          <w:tcPr>
            <w:tcW w:type="dxa" w:w="3572"/>
          </w:tcPr>
          <w:p>
            <w:r>
              <w:rPr>
                <w:sz w:val="19"/>
              </w:rPr>
              <w:t>Que quien emite también pague; que alguien se apruebe a sí mismo (bloqueo por usuario, en el servidor)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Mes cerrado (candado)</w:t>
            </w:r>
          </w:p>
        </w:tc>
        <w:tc>
          <w:tcPr>
            <w:tcW w:type="dxa" w:w="3515"/>
          </w:tcPr>
          <w:p>
            <w:r>
              <w:rPr>
                <w:sz w:val="19"/>
              </w:rPr>
              <w:t>Toda la operación retroactiva</w:t>
            </w:r>
          </w:p>
        </w:tc>
        <w:tc>
          <w:tcPr>
            <w:tcW w:type="dxa" w:w="3572"/>
          </w:tcPr>
          <w:p>
            <w:r>
              <w:rPr>
                <w:sz w:val="19"/>
              </w:rPr>
              <w:t>Que un mes ya informado y pagado cambie después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Inmutabilidad del crédito otorgado</w:t>
            </w:r>
          </w:p>
        </w:tc>
        <w:tc>
          <w:tcPr>
            <w:tcW w:type="dxa" w:w="3515"/>
          </w:tcPr>
          <w:p>
            <w:r>
              <w:rPr>
                <w:sz w:val="19"/>
              </w:rPr>
              <w:t>Calendario, tasa y comisión congelados</w:t>
            </w:r>
          </w:p>
        </w:tc>
        <w:tc>
          <w:tcPr>
            <w:tcW w:type="dxa" w:w="3572"/>
          </w:tcPr>
          <w:p>
            <w:r>
              <w:rPr>
                <w:sz w:val="19"/>
              </w:rPr>
              <w:t>Que la historia financiera se reescriba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Snapshot deliberado</w:t>
            </w:r>
          </w:p>
        </w:tc>
        <w:tc>
          <w:tcPr>
            <w:tcW w:type="dxa" w:w="3515"/>
          </w:tcPr>
          <w:p>
            <w:r>
              <w:rPr>
                <w:sz w:val="19"/>
              </w:rPr>
              <w:t>Cartolas aprobadas, finiquitos, códigos de excepción</w:t>
            </w:r>
          </w:p>
        </w:tc>
        <w:tc>
          <w:tcPr>
            <w:tcW w:type="dxa" w:w="3572"/>
          </w:tcPr>
          <w:p>
            <w:r>
              <w:rPr>
                <w:sz w:val="19"/>
              </w:rPr>
              <w:t>Que el documento pagado cambie porque el origen avanzó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Validación de escritura</w:t>
            </w:r>
          </w:p>
        </w:tc>
        <w:tc>
          <w:tcPr>
            <w:tcW w:type="dxa" w:w="3515"/>
          </w:tcPr>
          <w:p>
            <w:r>
              <w:rPr>
                <w:sz w:val="19"/>
              </w:rPr>
              <w:t>Operaciones críticas revisan las filas afectadas</w:t>
            </w:r>
          </w:p>
        </w:tc>
        <w:tc>
          <w:tcPr>
            <w:tcW w:type="dxa" w:w="3572"/>
          </w:tcPr>
          <w:p>
            <w:r>
              <w:rPr>
                <w:sz w:val="19"/>
              </w:rPr>
              <w:t>Que un cambio falle en silencio y se descubra semanas después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Motor único</w:t>
            </w:r>
          </w:p>
        </w:tc>
        <w:tc>
          <w:tcPr>
            <w:tcW w:type="dxa" w:w="3515"/>
          </w:tcPr>
          <w:p>
            <w:r>
              <w:rPr>
                <w:sz w:val="19"/>
              </w:rPr>
              <w:t>Todos los cálculos de plata</w:t>
            </w:r>
          </w:p>
        </w:tc>
        <w:tc>
          <w:tcPr>
            <w:tcW w:type="dxa" w:w="3572"/>
          </w:tcPr>
          <w:p>
            <w:r>
              <w:rPr>
                <w:sz w:val="19"/>
              </w:rPr>
              <w:t>Que dos pantallas muestren números distintos del mismo hecho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4. Auditoría: lo incorruptible</w:t>
      </w:r>
    </w:p>
    <w:p>
      <w:r>
        <w:rPr>
          <w:b w:val="0"/>
          <w:i w:val="0"/>
        </w:rPr>
        <w:t>La pregunta "¿quién hizo esto y cuándo?" siempre tiene respuesta:</w:t>
      </w:r>
    </w:p>
    <w:p>
      <w:pPr>
        <w:pStyle w:val="ListBullet"/>
      </w:pPr>
      <w:r>
        <w:rPr>
          <w:b/>
        </w:rPr>
        <w:t xml:space="preserve">Registro de acciones: </w:t>
      </w:r>
      <w:r>
        <w:t>las acciones críticas quedan registradas con usuario, fecha, detalle e IP, en el módulo Auditoría — incluyendo la bitácora separada de los dealers (accesos, qué miraron, qué preguntaron).</w:t>
      </w:r>
    </w:p>
    <w:p>
      <w:pPr>
        <w:pStyle w:val="ListBullet"/>
      </w:pPr>
      <w:r>
        <w:rPr>
          <w:b/>
        </w:rPr>
        <w:t xml:space="preserve">Bitácoras inmutables: </w:t>
      </w:r>
      <w:r>
        <w:t>la bitácora del Revisor Automático, las versiones de variables de comisiones y del Bono Jefe, y los registros de firmas SOLO AGREGAN FILAS: no existe editar ni borrar desde el sistema. Son los registros que un auditor externo puede tomar como verdad.</w:t>
      </w:r>
    </w:p>
    <w:p>
      <w:pPr>
        <w:pStyle w:val="ListBullet"/>
      </w:pPr>
      <w:r>
        <w:rPr>
          <w:b/>
        </w:rPr>
        <w:t xml:space="preserve">Firmas con huella: </w:t>
      </w:r>
      <w:r>
        <w:t>cada firma electrónica registra identidad de sesión, nombre, cargo, fecha, IP y la huella SHA-256 del contenido: se puede demostrar que el documento no se alteró después de firmado.</w:t>
      </w:r>
    </w:p>
    <w:p>
      <w:pPr>
        <w:pStyle w:val="ListBullet"/>
      </w:pPr>
      <w:r>
        <w:rPr>
          <w:b/>
        </w:rPr>
        <w:t xml:space="preserve">Documentos verificables: </w:t>
      </w:r>
      <w:r>
        <w:t>cartas, certificados y checklists llevan QR de verificación pública: cualquiera valida que el documento es auténtico y está vigente, sin entrar al sistema.</w:t>
      </w:r>
    </w:p>
    <w:p>
      <w:pPr>
        <w:pStyle w:val="ListBullet"/>
      </w:pPr>
      <w:r>
        <w:rPr>
          <w:b/>
        </w:rPr>
        <w:t xml:space="preserve">Correo trazado: </w:t>
      </w:r>
      <w:r>
        <w:t>todo correo del sistema queda en Auditoría → Correos Enviados.</w:t>
      </w:r>
    </w:p>
    <w:p>
      <w:pPr>
        <w:pStyle w:val="ListBullet"/>
      </w:pPr>
      <w:r>
        <w:rPr>
          <w:b/>
        </w:rPr>
        <w:t xml:space="preserve">Consola SQL: </w:t>
      </w:r>
      <w:r>
        <w:t>la consulta directa a la base es de SOLO LECTURA, restringida al perfil más alto, y cada consulta queda auditada.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val="clear" w:fill="F1F5F9"/>
          </w:tcPr>
          <w:p>
            <w:pPr>
              <w:jc w:val="center"/>
            </w:pPr>
            <w:r>
              <w:rPr>
                <w:b/>
                <w:color w:val="475569"/>
                <w:sz w:val="20"/>
              </w:rPr>
              <w:t>📸 CAPTURA 1 · Auditoría</w:t>
            </w:r>
          </w:p>
          <w:p>
            <w:pPr>
              <w:jc w:val="center"/>
            </w:pPr>
            <w:r>
              <w:rPr>
                <w:i/>
                <w:color w:val="9AA0A6"/>
                <w:sz w:val="18"/>
              </w:rPr>
              <w:t>El log de acciones con sus filtros y la pestaña de dealers.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5. Workflows y escalamiento: nada se queda dormido</w:t>
      </w:r>
    </w:p>
    <w:p>
      <w:r>
        <w:rPr>
          <w:b w:val="0"/>
          <w:i w:val="0"/>
        </w:rPr>
        <w:t>Un control que nadie mira no controla nada. Por eso lo pendiente ESCALA solo:</w:t>
      </w:r>
    </w:p>
    <w:p>
      <w:pPr>
        <w:pStyle w:val="ListBullet"/>
      </w:pPr>
      <w:r>
        <w:rPr>
          <w:b/>
        </w:rPr>
        <w:t xml:space="preserve">Escalamiento automático: </w:t>
      </w:r>
      <w:r>
        <w:t>quince flujos de escalamiento vigilan lo que espera decisión (aprobaciones, tickets, solicitudes): pasado el plazo en horas hábiles, el caso sube a la jefatura, con su registro en la bitácora de workflows.</w:t>
      </w:r>
    </w:p>
    <w:p>
      <w:pPr>
        <w:pStyle w:val="ListBullet"/>
      </w:pPr>
      <w:r>
        <w:rPr>
          <w:b/>
        </w:rPr>
        <w:t xml:space="preserve">Cadenas con plazo: </w:t>
      </w:r>
      <w:r>
        <w:t>las cadenas de aprobación (planes de liquidez, solicitudes RRHH, compras) tienen plazos por nivel y auto-avance al vencer, para que un aprobador ausente no congele el negocio.</w:t>
      </w:r>
    </w:p>
    <w:p>
      <w:pPr>
        <w:pStyle w:val="ListBullet"/>
      </w:pPr>
      <w:r>
        <w:rPr>
          <w:b/>
        </w:rPr>
        <w:t xml:space="preserve">Avisos que insisten: </w:t>
      </w:r>
      <w:r>
        <w:t>campanitas y correos paramétricos avisan a los responsables; las denuncias vencidas alegan semanalmente; el checklist de cierre manda correo diario con los puntos vencidos.</w:t>
      </w:r>
    </w:p>
    <w:p>
      <w:pPr>
        <w:pStyle w:val="ListBullet"/>
      </w:pPr>
      <w:r>
        <w:rPr>
          <w:b/>
        </w:rPr>
        <w:t xml:space="preserve">Motores gobernados: </w:t>
      </w:r>
      <w:r>
        <w:t>los 28 motores automáticos pasan por un programador central con interruptor: se ven, se apagan por ambiente y dejan log. Un reloj suelto e invisible no existe.</w:t>
      </w:r>
    </w:p>
    <w:p>
      <w:r>
        <w:br w:type="page"/>
      </w:r>
    </w:p>
    <w:p>
      <w:pPr>
        <w:pStyle w:val="Heading1"/>
      </w:pPr>
      <w:r>
        <w:t>6. Redundancia y contingencia: cuando algo se cae</w:t>
      </w:r>
    </w:p>
    <w:p>
      <w:pPr>
        <w:pStyle w:val="Heading2"/>
      </w:pPr>
      <w:r>
        <w:t>6.1 Los 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041"/>
            <w:shd w:val="clear" w:fill="012D70"/>
          </w:tcPr>
          <w:p>
            <w:r>
              <w:rPr>
                <w:b/>
                <w:color w:val="FFFFFF"/>
                <w:sz w:val="19"/>
              </w:rPr>
              <w:t>Qué</w:t>
            </w:r>
          </w:p>
        </w:tc>
        <w:tc>
          <w:tcPr>
            <w:tcW w:type="dxa" w:w="4876"/>
            <w:shd w:val="clear" w:fill="012D70"/>
          </w:tcPr>
          <w:p>
            <w:r>
              <w:rPr>
                <w:b/>
                <w:color w:val="FFFFFF"/>
                <w:sz w:val="19"/>
              </w:rPr>
              <w:t>Respaldo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9"/>
              </w:rPr>
              <w:t>Retención</w:t>
            </w:r>
          </w:p>
        </w:tc>
      </w:tr>
      <w:tr>
        <w:tc>
          <w:tcPr>
            <w:tcW w:type="dxa" w:w="2041"/>
          </w:tcPr>
          <w:p>
            <w:r>
              <w:rPr>
                <w:sz w:val="19"/>
              </w:rPr>
              <w:t>Base de datos</w:t>
            </w:r>
          </w:p>
        </w:tc>
        <w:tc>
          <w:tcPr>
            <w:tcW w:type="dxa" w:w="4876"/>
          </w:tcPr>
          <w:p>
            <w:r>
              <w:rPr>
                <w:sz w:val="19"/>
              </w:rPr>
              <w:t>Respaldo automático del proveedor + volcado nocturno propio (02:17) a artefacto privado</w:t>
            </w:r>
          </w:p>
        </w:tc>
        <w:tc>
          <w:tcPr>
            <w:tcW w:type="dxa" w:w="2438"/>
          </w:tcPr>
          <w:p>
            <w:r>
              <w:rPr>
                <w:sz w:val="19"/>
              </w:rPr>
              <w:t>1 día + 30 días</w:t>
            </w:r>
          </w:p>
        </w:tc>
      </w:tr>
      <w:tr>
        <w:tc>
          <w:tcPr>
            <w:tcW w:type="dxa" w:w="2041"/>
          </w:tcPr>
          <w:p>
            <w:r>
              <w:rPr>
                <w:sz w:val="19"/>
              </w:rPr>
              <w:t>Documentos</w:t>
            </w:r>
          </w:p>
        </w:tc>
        <w:tc>
          <w:tcPr>
            <w:tcW w:type="dxa" w:w="4876"/>
          </w:tcPr>
          <w:p>
            <w:r>
              <w:rPr>
                <w:sz w:val="19"/>
              </w:rPr>
              <w:t>Bucket de Google Cloud, fuera de la base</w:t>
            </w:r>
          </w:p>
        </w:tc>
        <w:tc>
          <w:tcPr>
            <w:tcW w:type="dxa" w:w="2438"/>
          </w:tcPr>
          <w:p>
            <w:r>
              <w:rPr>
                <w:sz w:val="19"/>
              </w:rPr>
              <w:t>Permanente</w:t>
            </w:r>
          </w:p>
        </w:tc>
      </w:tr>
      <w:tr>
        <w:tc>
          <w:tcPr>
            <w:tcW w:type="dxa" w:w="2041"/>
          </w:tcPr>
          <w:p>
            <w:r>
              <w:rPr>
                <w:sz w:val="19"/>
              </w:rPr>
              <w:t>Código</w:t>
            </w:r>
          </w:p>
        </w:tc>
        <w:tc>
          <w:tcPr>
            <w:tcW w:type="dxa" w:w="4876"/>
          </w:tcPr>
          <w:p>
            <w:r>
              <w:rPr>
                <w:sz w:val="19"/>
              </w:rPr>
              <w:t>Repositorio Git con historial completo</w:t>
            </w:r>
          </w:p>
        </w:tc>
        <w:tc>
          <w:tcPr>
            <w:tcW w:type="dxa" w:w="2438"/>
          </w:tcPr>
          <w:p>
            <w:r>
              <w:rPr>
                <w:sz w:val="19"/>
              </w:rPr>
              <w:t>Permanente</w:t>
            </w:r>
          </w:p>
        </w:tc>
      </w:tr>
      <w:tr>
        <w:tc>
          <w:tcPr>
            <w:tcW w:type="dxa" w:w="2041"/>
          </w:tcPr>
          <w:p>
            <w:r>
              <w:rPr>
                <w:sz w:val="19"/>
              </w:rPr>
              <w:t>Configuración</w:t>
            </w:r>
          </w:p>
        </w:tc>
        <w:tc>
          <w:tcPr>
            <w:tcW w:type="dxa" w:w="4876"/>
          </w:tcPr>
          <w:p>
            <w:r>
              <w:rPr>
                <w:sz w:val="19"/>
              </w:rPr>
              <w:t>Vive en la base (mantenedores) → viaja con el respaldo</w:t>
            </w:r>
          </w:p>
        </w:tc>
        <w:tc>
          <w:tcPr>
            <w:tcW w:type="dxa" w:w="2438"/>
          </w:tcPr>
          <w:p>
            <w:r>
              <w:rPr>
                <w:sz w:val="19"/>
              </w:rPr>
              <w:t>30 días</w:t>
            </w:r>
          </w:p>
        </w:tc>
      </w:tr>
    </w:tbl>
    <w:p>
      <w:pPr>
        <w:spacing w:after="40"/>
      </w:pPr>
    </w:p>
    <w:p>
      <w:pPr>
        <w:pStyle w:val="Heading2"/>
      </w:pPr>
      <w:r>
        <w:t>6.2 El servicio</w:t>
      </w:r>
    </w:p>
    <w:p>
      <w:r>
        <w:rPr>
          <w:b w:val="0"/>
          <w:i w:val="0"/>
        </w:rPr>
        <w:t>Si el servidor principal cae por horas, existe un host de contingencia DORMIDO en otra nube, apuntando a la misma base: se promueve con un comando siguiendo el runbook, y el arranque en frío toma segundos. La pieza clave es el interruptor central de motores: el standby atiende peticiones pero NO ejecuta ninguno de los 28 motores automáticos.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val="clear" w:fill="FEE2E2"/>
          </w:tcPr>
          <w:p>
            <w:r>
              <w:rPr>
                <w:b/>
                <w:color w:val="B91C1C"/>
                <w:sz w:val="21"/>
              </w:rPr>
              <w:t>🔒 Regla del sistema</w:t>
            </w:r>
          </w:p>
          <w:p>
            <w:pPr>
              <w:spacing w:after="40"/>
            </w:pPr>
            <w:r>
              <w:rPr>
                <w:sz w:val="21"/>
              </w:rPr>
              <w:t>NUNCA encender los motores del standby con el principal vivo: dos procesos contra la misma base ejecutan cada tarea dos veces y el daño es silencioso — una comisión aprobada dos veces no se queja. El orden de la vuelta atrás (primero apagar los motores del standby) está en el runbook.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La base tiene además su propia contingencia (instancia detenida en otra nube), y el ensayo completo del plan se hizo en agosto 2026 contra el ambiente de pruebas. La degradación es deliberada: promovido, funciona toda la operación del negocio; las integraciones externas (IA, WhatsApp, informes, SII) quedan apagadas hasta cargar sus credenciales según el manual.</w:t>
      </w:r>
    </w:p>
    <w:p>
      <w:pPr>
        <w:pStyle w:val="Heading2"/>
      </w:pPr>
      <w:r>
        <w:t>6.3 La vigilancia</w:t>
      </w:r>
    </w:p>
    <w:p>
      <w:pPr>
        <w:pStyle w:val="ListBullet"/>
      </w:pPr>
      <w:r>
        <w:rPr>
          <w:b/>
        </w:rPr>
        <w:t xml:space="preserve">Uptime: </w:t>
      </w:r>
      <w:r>
        <w:t>ping de servicios cada 5 minutos con historial por servicio.</w:t>
      </w:r>
    </w:p>
    <w:p>
      <w:pPr>
        <w:pStyle w:val="ListBullet"/>
      </w:pPr>
      <w:r>
        <w:rPr>
          <w:b/>
        </w:rPr>
        <w:t xml:space="preserve">Alertas de error: </w:t>
      </w:r>
      <w:r>
        <w:t>cada error 500 en producción manda correo al administrador (con freno de 10 minutos por ruta) — el sistema avisa antes que el usuario reclame.</w:t>
      </w:r>
    </w:p>
    <w:p>
      <w:pPr>
        <w:pStyle w:val="ListBullet"/>
      </w:pPr>
      <w:r>
        <w:rPr>
          <w:b/>
        </w:rPr>
        <w:t xml:space="preserve">Salud: </w:t>
      </w:r>
      <w:r>
        <w:t>el endpoint de salud reporta base, uptime, documentos y motores apagados; el badge de versión confirma qué build corre.</w:t>
      </w:r>
    </w:p>
    <w:p>
      <w:pPr>
        <w:pStyle w:val="ListBullet"/>
      </w:pPr>
      <w:r>
        <w:rPr>
          <w:b/>
        </w:rPr>
        <w:t xml:space="preserve">Vigía de relojes: </w:t>
      </w:r>
      <w:r>
        <w:t>un vigía diario revisa la coherencia de los relojes del sistema (zona horaria, fechas futuras) — la clase de error que descuadra sin ruido.</w:t>
      </w:r>
    </w:p>
    <w:p>
      <w:r>
        <w:br w:type="page"/>
      </w:r>
    </w:p>
    <w:p>
      <w:pPr>
        <w:pStyle w:val="Heading1"/>
      </w:pPr>
      <w:r>
        <w:t>7. El resumen para un auditor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val="clear" w:fill="012D70"/>
          </w:tcPr>
          <w:p>
            <w:r>
              <w:rPr>
                <w:b/>
                <w:color w:val="FFFFFF"/>
                <w:sz w:val="19"/>
              </w:rPr>
              <w:t>Pregunta del auditor</w:t>
            </w:r>
          </w:p>
        </w:tc>
        <w:tc>
          <w:tcPr>
            <w:tcW w:type="dxa" w:w="5953"/>
            <w:shd w:val="clear" w:fill="012D70"/>
          </w:tcPr>
          <w:p>
            <w:r>
              <w:rPr>
                <w:b/>
                <w:color w:val="FFFFFF"/>
                <w:sz w:val="19"/>
              </w:rPr>
              <w:t>Respuesta del sistema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¿Quién puede hacer qué?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Matriz de perfiles y funcionalidades, administrable y auditada; visibilidad acotada por pertenencia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¿Puede una persona sola mover plata?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No en lo crítico: doble firma y segregación de funciones en el servidor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¿Se puede reescribir la historia?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No: mes cerrado, créditos otorgados inmutables, snapshots y bitácoras que solo agregan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¿Cómo sé que este documento es auténtico?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QR de verificación pública + huella SHA-256 de la firma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¿Qué pasa si el servidor se cae?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Standby ensayado con runbook; respaldos diarios con 30 días de retención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¿Y si nadie mira un pendiente?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Escala solo por jefatura en horas hábiles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¿Dónde están las claves?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En el servidor como variables de entorno; jamás en código ni documentos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1212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12D7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141A2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012D7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