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REPORTERÍA Y DASHBOARDS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520"/>
      </w:pPr>
    </w:p>
    <w:p>
      <w:pPr>
        <w:jc w:val="center"/>
      </w:pPr>
      <w:r>
        <w:rPr>
          <w:b w:val="0"/>
          <w:i w:val="0"/>
          <w:color w:val="475569"/>
          <w:sz w:val="24"/>
        </w:rPr>
        <w:t>Del dato a la decisión: cómo el negocio se mira a sí mismo.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17 de agosto de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1. Los principios: por qué los números cuadran</w:t>
      </w:r>
    </w:p>
    <w:p>
      <w:r>
        <w:rPr>
          <w:b w:val="0"/>
          <w:i w:val="0"/>
        </w:rPr>
        <w:t>La reportería del sistema no es una capa aparte que copia datos: lee las MISMAS tablas y usa los MISMOS motores que la operación. De ahí salen sus reglas:</w:t>
      </w:r>
    </w:p>
    <w:p>
      <w:pPr>
        <w:pStyle w:val="ListBullet"/>
      </w:pPr>
      <w:r>
        <w:rPr>
          <w:b/>
        </w:rPr>
        <w:t xml:space="preserve">Consistencia = confianza: </w:t>
      </w:r>
      <w:r>
        <w:t>toda cifra sale de la fuente única y del motor único. La rentabilidad del dashboard es la misma de la carta; la mora del informe es la misma de la caja. Si dos informes difieren, es un bug — no "otra metodología".</w:t>
      </w:r>
    </w:p>
    <w:p>
      <w:pPr>
        <w:pStyle w:val="ListBullet"/>
      </w:pPr>
      <w:r>
        <w:rPr>
          <w:b/>
        </w:rPr>
        <w:t xml:space="preserve">Stats de verdad: </w:t>
      </w:r>
      <w:r>
        <w:t>los totales y conteos se calculan en el servidor sobre TODO el universo, nunca sumando la página visible. Una tabla paginada muestra 100 filas, pero sus estadísticas son de las 18.000.</w:t>
      </w:r>
    </w:p>
    <w:p>
      <w:pPr>
        <w:pStyle w:val="ListBullet"/>
      </w:pPr>
      <w:r>
        <w:rPr>
          <w:b/>
        </w:rPr>
        <w:t xml:space="preserve">El mes en curso engaña: </w:t>
      </w:r>
      <w:r>
        <w:t>los informes comparativos abren por defecto en el último mes CERRADO: el mes en curso está incompleto y leerlo como caída de ventas es el error clásico. El mes corriente se muestra siempre marcado como parcial.</w:t>
      </w:r>
    </w:p>
    <w:p>
      <w:pPr>
        <w:pStyle w:val="ListBullet"/>
      </w:pPr>
      <w:r>
        <w:rPr>
          <w:b/>
        </w:rPr>
        <w:t xml:space="preserve">Lo congelado no se mueve: </w:t>
      </w:r>
      <w:r>
        <w:t>un mes cerrado tiene candado: sus cifras no cambian aunque se recalcule el presente. Lo que se informó a la matriz sigue siendo lo informado.</w:t>
      </w:r>
    </w:p>
    <w:p>
      <w:pPr>
        <w:pStyle w:val="ListBullet"/>
      </w:pPr>
      <w:r>
        <w:rPr>
          <w:b/>
        </w:rPr>
        <w:t xml:space="preserve">Todo exporta: </w:t>
      </w:r>
      <w:r>
        <w:t>prácticamente toda vista tiene botón Excel, y los exports respetan los mismos filtros y motores de la pantalla.</w:t>
      </w:r>
    </w:p>
    <w:p>
      <w:r>
        <w:br w:type="page"/>
      </w:r>
    </w:p>
    <w:p>
      <w:pPr>
        <w:pStyle w:val="Heading1"/>
      </w:pPr>
      <w:r>
        <w:t>2. El Dashboard principal</w:t>
      </w:r>
    </w:p>
    <w:p>
      <w:r>
        <w:rPr>
          <w:b w:val="0"/>
          <w:i w:val="0"/>
        </w:rPr>
        <w:t>La vista de comando del negocio de colocación: producción aprobada y otorgada, montos, instituciones, rentabilidad y penetración de seguros, con filtros por fecha y comparación entre períodos.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/dashboard/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Gerencia y jefaturas · las pestañas visibles se configuran por permiso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Configuración de tabs por perfil (dashboard_config)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Producción cargada al día</w:t>
            </w:r>
          </w:p>
        </w:tc>
      </w:tr>
    </w:tbl>
    <w:p>
      <w:pPr>
        <w:spacing w:after="40"/>
      </w:pPr>
    </w:p>
    <w:p>
      <w:pPr>
        <w:pStyle w:val="Heading2"/>
      </w:pPr>
      <w:r>
        <w:t>2.1 Qué muestra</w:t>
      </w:r>
    </w:p>
    <w:p>
      <w:pPr>
        <w:pStyle w:val="ListBullet"/>
      </w:pPr>
      <w:r>
        <w:rPr>
          <w:b/>
        </w:rPr>
        <w:t xml:space="preserve">Tab Aprobados: </w:t>
      </w:r>
      <w:r>
        <w:t>las cartas aprobadas del período, con conversión.</w:t>
      </w:r>
    </w:p>
    <w:p>
      <w:pPr>
        <w:pStyle w:val="ListBullet"/>
      </w:pPr>
      <w:r>
        <w:rPr>
          <w:b/>
        </w:rPr>
        <w:t xml:space="preserve">Tab Otorgados: </w:t>
      </w:r>
      <w:r>
        <w:t>la producción cursada: operaciones, montos, split AutoFin/Unidad, mayor/menor 200 UF.</w:t>
      </w:r>
    </w:p>
    <w:p>
      <w:pPr>
        <w:pStyle w:val="ListBullet"/>
      </w:pPr>
      <w:r>
        <w:rPr>
          <w:b/>
        </w:rPr>
        <w:t xml:space="preserve">Tab Rentabilidades: </w:t>
      </w:r>
      <w:r>
        <w:t>ingreso por colocación, seguros y comisiones — con el semáforo paramétrico (verde/amarillo/naranjo).</w:t>
      </w:r>
    </w:p>
    <w:p>
      <w:pPr>
        <w:pStyle w:val="Heading2"/>
      </w:pPr>
      <w:r>
        <w:t>2.2 Las reglas de cálculo que hay que conocer</w:t>
      </w:r>
    </w:p>
    <w:p>
      <w:pPr>
        <w:pStyle w:val="ListBullet"/>
      </w:pPr>
      <w:r>
        <w:rPr>
          <w:b/>
        </w:rPr>
        <w:t xml:space="preserve">Deduplicación por operación: </w:t>
      </w:r>
      <w:r>
        <w:t>si un número de operación se cargó más de una vez, el dashboard muestra UNA sola (deduplicación en la consulta).</w:t>
      </w:r>
    </w:p>
    <w:p>
      <w:pPr>
        <w:pStyle w:val="ListBullet"/>
      </w:pPr>
      <w:r>
        <w:rPr>
          <w:b/>
        </w:rPr>
        <w:t xml:space="preserve">Mayor/menor 200 UF: </w:t>
      </w:r>
      <w:r>
        <w:t>la clasificación se recalcula con la UF de la FECHA DE OTORGAMIENTO de cada crédito, no con la UF de hoy — una operación no cambia de tramo porque la UF subió.</w:t>
      </w:r>
    </w:p>
    <w:p>
      <w:pPr>
        <w:pStyle w:val="ListBullet"/>
      </w:pPr>
      <w:r>
        <w:rPr>
          <w:b/>
        </w:rPr>
        <w:t xml:space="preserve">Umbrales paramétricos: </w:t>
      </w:r>
      <w:r>
        <w:t>metas de prospección, umbrales de rojo y semáforo de rentabilidad viven en el mantenedor Parámetros del Dashboard — antes estaban en el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Dashboard → Otorgados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tab de otorgados con sus KPIs y el filtro de fechas.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Reportería de autoservicio</w:t>
      </w:r>
    </w:p>
    <w:p>
      <w:pPr>
        <w:pStyle w:val="Heading2"/>
      </w:pPr>
      <w:r>
        <w:t>3.1 Reportería Tailor Made</w:t>
      </w:r>
    </w:p>
    <w:p>
      <w:r>
        <w:rPr>
          <w:b w:val="0"/>
          <w:i w:val="0"/>
        </w:rPr>
        <w:t>Los informes armados a medida del negocio, listos para filtrar y exportar. Es la estación intermedia: más flexible que un dashboard, más guiada que el constructor.</w:t>
      </w:r>
    </w:p>
    <w:p>
      <w:pPr>
        <w:pStyle w:val="Heading2"/>
      </w:pPr>
      <w:r>
        <w:t>3.2 Diseño de Consulta: el constructor visual</w:t>
      </w:r>
    </w:p>
    <w:p>
      <w:r>
        <w:rPr>
          <w:b w:val="0"/>
          <w:i w:val="0"/>
        </w:rPr>
        <w:t>El poder de armar una consulta propia sin saber SQL, al estilo del diseñador de consultas de Access: se eligen tablas, campos, filtros y agrupaciones en pantalla, y la consulta queda guardada para repetirla. Para el usuario avanzado que pregunta cosas que ningún informe fijo previó.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Reportería → Diseño de Consulta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constructor con una consulta armada: tablas, campos y filtros.</w:t>
            </w:r>
          </w:p>
        </w:tc>
      </w:tr>
    </w:tbl>
    <w:p>
      <w:pPr>
        <w:spacing w:after="40"/>
      </w:pPr>
    </w:p>
    <w:p>
      <w:pPr>
        <w:pStyle w:val="Heading2"/>
      </w:pPr>
      <w:r>
        <w:t>3.3 Pregúntale a AutoFácil y Pregúntale a Finanzas (BI conversacional)</w:t>
      </w:r>
    </w:p>
    <w:p>
      <w:r>
        <w:rPr>
          <w:b w:val="0"/>
          <w:i w:val="0"/>
        </w:rPr>
        <w:t>La pregunta en lenguaje natural: "¿cuántas operaciones cursó el parque X en julio?" y la respuesta con la cifra real del sistema. Dos sabores: el general (datos de negocio) y el financiero (estados y cifras contables, con modelo mayor). Gobernados por el subsistema de IA, con su gasto medido (ver documento de IA). Complemento del autoservicio: la pregunta puntual ya no espera a que alguien arme el informe.</w:t>
      </w:r>
    </w:p>
    <w:p>
      <w:r>
        <w:br w:type="page"/>
      </w:r>
    </w:p>
    <w:p>
      <w:pPr>
        <w:pStyle w:val="Heading1"/>
      </w:pPr>
      <w:r>
        <w:t>4. Vistas ejecutivas y de sala</w:t>
      </w:r>
    </w:p>
    <w:p>
      <w:pPr>
        <w:pStyle w:val="ListBullet"/>
      </w:pPr>
      <w:r>
        <w:rPr>
          <w:b/>
        </w:rPr>
        <w:t xml:space="preserve">Cuadro de Mando: </w:t>
      </w:r>
      <w:r>
        <w:t>el panel de TV estilo sala de control (/mando): los indicadores del negocio en vivo para la pantalla de la oficina.</w:t>
      </w:r>
    </w:p>
    <w:p>
      <w:pPr>
        <w:pStyle w:val="ListBullet"/>
      </w:pPr>
      <w:r>
        <w:rPr>
          <w:b/>
        </w:rPr>
        <w:t xml:space="preserve">Mi Día: </w:t>
      </w:r>
      <w:r>
        <w:t>la página de inicio personal con widgets por perfil: pendientes, agenda, indicadores del rol. Cada uno ve su día, no el de todos.</w:t>
      </w:r>
    </w:p>
    <w:p>
      <w:pPr>
        <w:pStyle w:val="ListBullet"/>
      </w:pPr>
      <w:r>
        <w:rPr>
          <w:b/>
        </w:rPr>
        <w:t xml:space="preserve">Resumen Ejecutivo Diario: </w:t>
      </w:r>
      <w:r>
        <w:t>el correo automático de la mañana con lo esencial del día anterior, redactado por el subsistema de IA sobre cifras reales.</w:t>
      </w:r>
    </w:p>
    <w:p>
      <w:pPr>
        <w:pStyle w:val="ListBullet"/>
      </w:pPr>
      <w:r>
        <w:rPr>
          <w:b/>
        </w:rPr>
        <w:t xml:space="preserve">Informe a Casa Matriz: </w:t>
      </w:r>
      <w:r>
        <w:t>el informe mensual de Cierre Contable a la matriz (Ecuador), con sus seis secciones validadas contra la base antes de enviarse.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/mando (Cuadro de Mando TV)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panel de sala con los indicadores en vivo.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Los informes por área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fill="012D70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835"/>
            <w:shd w:val="clear" w:fill="012D70"/>
          </w:tcPr>
          <w:p>
            <w:r>
              <w:rPr>
                <w:b/>
                <w:color w:val="FFFFFF"/>
                <w:sz w:val="19"/>
              </w:rPr>
              <w:t>Informe</w:t>
            </w:r>
          </w:p>
        </w:tc>
        <w:tc>
          <w:tcPr>
            <w:tcW w:type="dxa" w:w="4932"/>
            <w:shd w:val="clear" w:fill="012D70"/>
          </w:tcPr>
          <w:p>
            <w:r>
              <w:rPr>
                <w:b/>
                <w:color w:val="FFFFFF"/>
                <w:sz w:val="19"/>
              </w:rPr>
              <w:t>Qué responde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Rentabilidad de Créditos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Cuánto dejó cada operación y si se cursó donde convenía (audita con los mismos umbrales de ¿Dónde Curso?)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Penetración de Seguros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Qué % de las operaciones elegibles lleva cada seguro — el mismo universo del bono del ejecutivo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Vendedores con Ventas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Quién del dealer trae cada negocio (abre en el último mes cerrado)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Estadísticas de Ruta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Cumplimiento y positividad de las visitas por ejecutivo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Potencial de Dealers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Qué dealer rinde bajo su potencial según su categoría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Operaciones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Historial de Cargas / Diferencias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Qué entró, qué se omitió y qué discrepa con el canal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Cobranza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Cartera y mora por tramo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Cómo está la cartera propia, con el motor único de mora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Cobranza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Score de Mora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Mora histórica por segmento — alimenta la política de crédito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Tesorería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Saldo Precio en Proceso de Pago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Qué se debe al canal y su SLA, en vivo desde las etapas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Contabilidad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Libros, balance y F29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La contabilidad completa, construida sola desde la operación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RRHH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Libro de Remuneraciones / BSC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Sueldos, comisiones y el bono del Jefe Comercial con su detalle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TI / Gerencia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Salud del Sistema</w:t>
            </w:r>
          </w:p>
        </w:tc>
        <w:tc>
          <w:tcPr>
            <w:tcW w:type="dxa" w:w="4932"/>
          </w:tcPr>
          <w:p>
            <w:r>
              <w:rPr>
                <w:sz w:val="19"/>
              </w:rPr>
              <w:t>Uptime, motores, respaldos y el gasto de IA en vivo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Los informes generados por IA comparten un formato único (el estándar de Reporte IA del sistema): mismo encabezado, misma estructura, mismo pie — un informe de máquina se reconoce a la vista y siempre declara sus fuentes.</w:t>
      </w:r>
    </w:p>
    <w:p>
      <w:r>
        <w:br w:type="page"/>
      </w:r>
    </w:p>
    <w:p>
      <w:pPr>
        <w:pStyle w:val="Heading1"/>
      </w:pPr>
      <w:r>
        <w:t>6. El gobierno de la reportería</w:t>
      </w:r>
    </w:p>
    <w:p>
      <w:pPr>
        <w:pStyle w:val="ListBullet"/>
      </w:pPr>
      <w:r>
        <w:rPr>
          <w:b/>
        </w:rPr>
        <w:t xml:space="preserve">Permisos: </w:t>
      </w:r>
      <w:r>
        <w:t>cada informe y dashboard respeta la matriz: quien no tiene el permiso no ve la card, y la visibilidad de datos se acota (un supervisor ve su equipo; Gerencia, todo).</w:t>
      </w:r>
    </w:p>
    <w:p>
      <w:pPr>
        <w:pStyle w:val="ListBullet"/>
      </w:pPr>
      <w:r>
        <w:rPr>
          <w:b/>
        </w:rPr>
        <w:t xml:space="preserve">Rate limit propio: </w:t>
      </w:r>
      <w:r>
        <w:t>la reportería tiene su propio techo de peticiones (120/min) porque la base cobra por consulta: un informe pesado repetido sin control es plata.</w:t>
      </w:r>
    </w:p>
    <w:p>
      <w:pPr>
        <w:pStyle w:val="ListBullet"/>
      </w:pPr>
      <w:r>
        <w:rPr>
          <w:b/>
        </w:rPr>
        <w:t xml:space="preserve">Caché: </w:t>
      </w:r>
      <w:r>
        <w:t>los sondeos frecuentes se cachean; los datos que no cambian cada minuto no se consultan cada minuto.</w:t>
      </w:r>
    </w:p>
    <w:p>
      <w:pPr>
        <w:pStyle w:val="ListBullet"/>
      </w:pPr>
      <w:r>
        <w:rPr>
          <w:b/>
        </w:rPr>
        <w:t xml:space="preserve">Sin segundas verdades: </w:t>
      </w:r>
      <w:r>
        <w:t>si un informe nuevo necesita una cifra que ya existe en otra pantalla, usa el mismo motor — la máxima 1 aplica a la reportería igual que a la operación. Un informe que "recalcula por su cuenta" es un bug en gestación.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