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60"/>
        </w:rPr>
        <w:t>CRM Y CAMPAÑAS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520"/>
      </w:pPr>
    </w:p>
    <w:p>
      <w:pPr>
        <w:jc w:val="center"/>
      </w:pPr>
      <w:r>
        <w:rPr>
          <w:b w:val="0"/>
          <w:i w:val="0"/>
          <w:color w:val="475569"/>
          <w:sz w:val="24"/>
        </w:rPr>
        <w:t>Cada contacto con un cliente queda registrado, y cada campaña se mide de verdad.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17 de agosto de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1. El concepto: una sola bitácora de gestiones</w:t>
      </w:r>
    </w:p>
    <w:p>
      <w:r>
        <w:rPr>
          <w:b w:val="0"/>
          <w:i w:val="0"/>
        </w:rPr>
        <w:t>El CRM del sistema no es un módulo aparte con su propia base de clientes: es la BITÁCORA ÚNICA donde cae toda interacción con un cliente, venga de donde venga. Una llamada de cobranza, un correo automático de mora, un WhatsApp de campaña, una gestión comercial — todo queda como gestión, con fecha, canal, resultado y autor.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EFF6FF"/>
          </w:tcPr>
          <w:p>
            <w:r>
              <w:rPr>
                <w:b/>
                <w:color w:val="012D70"/>
                <w:sz w:val="21"/>
              </w:rPr>
              <w:t>Por qué importa</w:t>
            </w:r>
          </w:p>
          <w:p>
            <w:pPr>
              <w:spacing w:after="40"/>
            </w:pPr>
            <w:r>
              <w:rPr>
                <w:sz w:val="21"/>
              </w:rPr>
              <w:t>Cuando un cliente llama, cualquiera que lo atienda ve la historia completa: qué se le ha enviado, quién lo llamó, qué se le prometió. Y cuando la ley pregunta cuántas gestiones de cobranza se hicieron esta semana, la respuesta está en un solo lugar — el tope legal se controla contra esta bitácora.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Sobre esa bitácora se montan dos artillerías de contacto masivo, cada una con su módulo: las Campañas Masivas (correo y WhatsApp) y las Campañas de Venta telefónicas (con discador). Ambas escriben sus contactos como gestiones — nada queda fuera de la historia.</w:t>
      </w:r>
    </w:p>
    <w:p>
      <w:r>
        <w:br w:type="page"/>
      </w:r>
    </w:p>
    <w:p>
      <w:pPr>
        <w:pStyle w:val="Heading1"/>
      </w:pPr>
      <w:r>
        <w:t>2. Campañas Masivas: correo y WhatsApp</w:t>
      </w:r>
    </w:p>
    <w:p>
      <w:r>
        <w:rPr>
          <w:b w:val="0"/>
          <w:i w:val="0"/>
        </w:rPr>
        <w:t>Contacto masivo con mensajes personalizados y — la diferencia con mandar correos a ciegas — MEDICIÓN contra grupo de control: saber si la campaña movió la aguja o si esas ventas habrían pasado igual.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Campañas Masivas (correlativo CM-####)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Marketing/Comercial (venta) · Cobranza (mora)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campanas_masivas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Datos de contacto (BD o CSV) · para WhatsApp frío, plantilla HSM aprobada por Meta</w:t>
            </w:r>
          </w:p>
        </w:tc>
      </w:tr>
    </w:tbl>
    <w:p>
      <w:pPr>
        <w:spacing w:after="40"/>
      </w:pPr>
    </w:p>
    <w:p>
      <w:pPr>
        <w:pStyle w:val="Heading2"/>
      </w:pPr>
      <w:r>
        <w:t>2.1 Armar la audiencia</w:t>
      </w:r>
    </w:p>
    <w:p>
      <w:pPr>
        <w:pStyle w:val="ListBullet"/>
      </w:pPr>
      <w:r>
        <w:rPr>
          <w:b/>
        </w:rPr>
        <w:t xml:space="preserve">CSV manual: </w:t>
      </w:r>
      <w:r>
        <w:t>con plantilla descargable, hasta 10 campos de datos que después se usan como {{variables}} en el mensaje.</w:t>
      </w:r>
    </w:p>
    <w:p>
      <w:pPr>
        <w:pStyle w:val="ListBullet"/>
      </w:pPr>
      <w:r>
        <w:rPr>
          <w:b/>
        </w:rPr>
        <w:t xml:space="preserve">Desde la base por parámetros: </w:t>
      </w:r>
      <w:r>
        <w:t>cobranza filtra por días de mora y capital; venta, por meses para el término del crédito y renta mínima — los clientes que están terminando de pagar son la mejor audiencia de renovación. Se puede excluir por región.</w:t>
      </w:r>
    </w:p>
    <w:p>
      <w:pPr>
        <w:pStyle w:val="ListBullet"/>
      </w:pPr>
      <w:r>
        <w:rPr>
          <w:b/>
        </w:rPr>
        <w:t xml:space="preserve">Depurar con análisis: </w:t>
      </w:r>
      <w:r>
        <w:t>dos análisis SEPARADOS y opcionales antes de enviar: el de CRÉDITO (política: relación cuota/renta → cumple o no) y el de INFORMES (riesgo DealerNet → excluir los altos). Se filtra ANTES de gastar el envío.</w:t>
      </w:r>
    </w:p>
    <w:p>
      <w:pPr>
        <w:pStyle w:val="ListBullet"/>
      </w:pPr>
      <w:r>
        <w:rPr>
          <w:b/>
        </w:rPr>
        <w:t xml:space="preserve">Completar contactos: </w:t>
      </w:r>
      <w:r>
        <w:t>si a un cliente le falta correo o teléfono, el sistema puede buscar sus datos de contacto en el informe comercial y proponerlos para revisión uno a uno — con el teléfono rankeado por frecuencia y los correos con el apellido del cliente primero.</w:t>
      </w:r>
    </w:p>
    <w:p>
      <w:pPr>
        <w:pStyle w:val="Heading2"/>
      </w:pPr>
      <w:r>
        <w:t>2.2 El grupo de control (champion–challenger)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Los deciles de control se definen al crear la campaña y esos clientes NO se contactan. Sin control no hay forma de saber si la campaña funcionó: la conversión del grupo contactado se compara contra la del grupo que no recibió nada, y la diferencia — el uplift — es el efecto real de la campaña.</w:t>
            </w:r>
          </w:p>
        </w:tc>
      </w:tr>
    </w:tbl>
    <w:p>
      <w:pPr>
        <w:spacing w:after="40"/>
      </w:pPr>
    </w:p>
    <w:p>
      <w:pPr>
        <w:pStyle w:val="Heading2"/>
      </w:pPr>
      <w:r>
        <w:t>2.3 Enviar</w:t>
      </w:r>
    </w:p>
    <w:p>
      <w:pPr>
        <w:pStyle w:val="ListBullet"/>
      </w:pPr>
      <w:r>
        <w:rPr>
          <w:b/>
        </w:rPr>
        <w:t xml:space="preserve">Correo: </w:t>
      </w:r>
      <w:r>
        <w:t>en lotes, con las variables mergeadas y plantilla visual (banner, logo, título). Cada correo lleva un píxel de lectura firmado: al abrirse, el estado pasa de ENVIADO a LEÍDO. La vista previa no lleva píxel, para no inventar lecturas.</w:t>
      </w:r>
    </w:p>
    <w:p>
      <w:pPr>
        <w:pStyle w:val="ListBullet"/>
      </w:pPr>
      <w:r>
        <w:rPr>
          <w:b/>
        </w:rPr>
        <w:t xml:space="preserve">WhatsApp: </w:t>
      </w:r>
      <w:r>
        <w:t>dos modos — PLANTILLA APROBADA (llega a cualquier contacto, sin ventana de 24 horas, con los parámetros mergeados) o TEXTO LIBRE (solo conversaciones activas). Los teléfonos se normalizan solos.</w:t>
      </w:r>
    </w:p>
    <w:p>
      <w:pPr>
        <w:pStyle w:val="ListBullet"/>
      </w:pPr>
      <w:r>
        <w:rPr>
          <w:b/>
        </w:rPr>
        <w:t xml:space="preserve">Modo Desarrollo: </w:t>
      </w:r>
      <w:r>
        <w:t>en pruebas, todo envío queda SIMULADO — registrado pero sin salir. Las campañas de prueba sembradas no se pueden enviar.</w:t>
      </w:r>
    </w:p>
    <w:p>
      <w:pPr>
        <w:pStyle w:val="Heading2"/>
      </w:pPr>
      <w:r>
        <w:t>2.4 Medir</w:t>
      </w:r>
    </w:p>
    <w:p>
      <w:r>
        <w:rPr>
          <w:b w:val="0"/>
          <w:i w:val="0"/>
        </w:rPr>
        <w:t>El botón de recálculo cruza la campaña contra la realidad: en VENTA, los créditos OTORGADOS del RUT después del envío (ventana de 30 días); en COBRANZA, las cuotas pagadas después del envío. El informe muestra los estados clicables con export, la curva de conversión acumulada por día — campaña contra control — y el riesgo crediticio de los convertidos.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Campañas Masivas → resultados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informe con la curva campaña vs control y el uplift.</w:t>
            </w:r>
          </w:p>
        </w:tc>
      </w:tr>
    </w:tbl>
    <w:p>
      <w:pPr>
        <w:spacing w:after="40"/>
      </w:pP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AUDIENCIA → ANÁLISIS (OPCIONAL) → DECILES DE CONTROL → ENVÍO POR LOTES → CONVERSIÓN MEDIDA</w:t>
      </w:r>
    </w:p>
    <w:p>
      <w:r>
        <w:br w:type="page"/>
      </w:r>
    </w:p>
    <w:p>
      <w:pPr>
        <w:pStyle w:val="Heading1"/>
      </w:pPr>
      <w:r>
        <w:t>3. Campañas de Venta telefónicas: el discador</w:t>
      </w:r>
    </w:p>
    <w:p>
      <w:r>
        <w:rPr>
          <w:b w:val="0"/>
          <w:i w:val="0"/>
        </w:rPr>
        <w:t>Para trabajar una base con llamadas — por ejemplo, la cartera de otra financiera para portabilidad — el módulo de Campañas de Venta arma un call center liviano dentro del sistema: la base se sube, se homologa y el discador reparte las llamadas.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Campañas de Venta (/campanas-ventas/)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Ejecutivos operan · el administrador de la campaña crea y configura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campanas_ventas (operar) · campanas_ventas_admin (configurar)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Base externa en Excel con RUT y al menos un teléfono</w:t>
            </w:r>
          </w:p>
        </w:tc>
      </w:tr>
    </w:tbl>
    <w:p>
      <w:pPr>
        <w:spacing w:after="40"/>
      </w:pPr>
    </w:p>
    <w:p>
      <w:pPr>
        <w:pStyle w:val="Heading2"/>
      </w:pPr>
      <w:r>
        <w:t>3.1 Bases externas, separadas a propósito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Una base externa NUNCA entra a las tablas normales del sistema: vive en tablas propias del módulo. Los clientes de otra financiera no son (todavía) nuestros clientes — mezclarlos contaminaría la fuente única.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Al subir el Excel se homologa a mano: el sistema muestra las columnas del archivo con ejemplos y se mapea cada una contra el catálogo (cliente, crédito externo, vehículo, libres). Obligatorio: RUT y al menos un teléfono.</w:t>
      </w:r>
    </w:p>
    <w:p>
      <w:pPr>
        <w:pStyle w:val="Heading2"/>
      </w:pPr>
      <w:r>
        <w:t>3.2 El discador</w:t>
      </w:r>
    </w:p>
    <w:p>
      <w:pPr>
        <w:pStyle w:val="ListBullet"/>
      </w:pPr>
      <w:r>
        <w:rPr>
          <w:b/>
        </w:rPr>
        <w:t xml:space="preserve">La cola: </w:t>
      </w:r>
      <w:r>
        <w:t>mi llamada en curso → mis rellamados vencidos → rellamados del pool → pendientes en el orden que fijó el administrador. Cada registro tomado queda bloqueado (20 minutos) para que dos ejecutivos no llamen al mismo cliente.</w:t>
      </w:r>
    </w:p>
    <w:p>
      <w:pPr>
        <w:pStyle w:val="ListBullet"/>
      </w:pPr>
      <w:r>
        <w:rPr>
          <w:b/>
        </w:rPr>
        <w:t xml:space="preserve">Teléfonos que aprenden: </w:t>
      </w:r>
      <w:r>
        <w:t>los teléfonos del cliente se ordenan por contactabilidad según las gestiones previas; un fono malo se marca INHABILITADO y deja de ofrecerse.</w:t>
      </w:r>
    </w:p>
    <w:p>
      <w:pPr>
        <w:pStyle w:val="ListBullet"/>
      </w:pPr>
      <w:r>
        <w:rPr>
          <w:b/>
        </w:rPr>
        <w:t xml:space="preserve">Términos por campaña: </w:t>
      </w:r>
      <w:r>
        <w:t>cada campaña define sus términos de gestión (contacto directo/indirecto/no contacto/inhabilitado), cuáles cierran el caso, cuáles son venta (piden monto) y cuáles agendan rellamado — todo paramétrico.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Campañas de Venta → discador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discador con un registro tomado, sus teléfonos rankeados y los términos de gestión.</w:t>
            </w:r>
          </w:p>
        </w:tc>
      </w:tr>
    </w:tbl>
    <w:p>
      <w:pPr>
        <w:spacing w:after="40"/>
      </w:pPr>
    </w:p>
    <w:p>
      <w:pPr>
        <w:pStyle w:val="Heading2"/>
      </w:pPr>
      <w:r>
        <w:t>3.3 Las métricas del embudo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012D70"/>
          </w:tcPr>
          <w:p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6520"/>
            <w:shd w:val="clear" w:fill="012D70"/>
          </w:tcPr>
          <w:p>
            <w:r>
              <w:rPr>
                <w:b/>
                <w:color w:val="FFFFFF"/>
                <w:sz w:val="19"/>
              </w:rPr>
              <w:t>Fórmula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Penetración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Gestionados ÷ base total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Contactabilidad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Contactados ÷ gestionados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Conversión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Ventas ÷ contactados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Conversión real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Cruce por RUT contra créditos OTORGADOS después de activada la campaña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La última fila es la honesta: no basta con que el ejecutivo marque "venta" — el sistema cruza contra los créditos que efectivamente se cursaron.</w:t>
      </w:r>
    </w:p>
    <w:p>
      <w:r>
        <w:br w:type="page"/>
      </w:r>
    </w:p>
    <w:p>
      <w:pPr>
        <w:pStyle w:val="Heading1"/>
      </w:pPr>
      <w:r>
        <w:t>4. Los otros brazos del contacto</w:t>
      </w:r>
    </w:p>
    <w:p>
      <w:r>
        <w:rPr>
          <w:b w:val="0"/>
          <w:i w:val="0"/>
        </w:rPr>
        <w:t>El CRM recibe gestiones de más lugares que las campañas:</w:t>
      </w:r>
    </w:p>
    <w:p>
      <w:pPr>
        <w:pStyle w:val="ListBullet"/>
      </w:pPr>
      <w:r>
        <w:rPr>
          <w:b/>
        </w:rPr>
        <w:t xml:space="preserve">Cobranza automática: </w:t>
      </w:r>
      <w:r>
        <w:t>los correos por tramo y las secuencias de WhatsApp de mora escriben cada envío en la bitácora (ver Manual de Cobranza).</w:t>
      </w:r>
    </w:p>
    <w:p>
      <w:pPr>
        <w:pStyle w:val="ListBullet"/>
      </w:pPr>
      <w:r>
        <w:rPr>
          <w:b/>
        </w:rPr>
        <w:t xml:space="preserve">Facilito: </w:t>
      </w:r>
      <w:r>
        <w:t>las conversaciones del bot y las derivaciones a ejecutivos quedan ligadas al cliente; las cotizaciones del bot van a la tabla de cotizaciones (fuente única).</w:t>
      </w:r>
    </w:p>
    <w:p>
      <w:pPr>
        <w:pStyle w:val="ListBullet"/>
      </w:pPr>
      <w:r>
        <w:rPr>
          <w:b/>
        </w:rPr>
        <w:t xml:space="preserve">Seguimiento de cartas: </w:t>
      </w:r>
      <w:r>
        <w:t>el motor que le pregunta al dealer por WhatsApp por las cartas que vencen mañana, y tabula el motivo cuando el negocio se perdió — inteligencia comercial que antes no existía.</w:t>
      </w:r>
    </w:p>
    <w:p>
      <w:pPr>
        <w:pStyle w:val="ListBullet"/>
      </w:pPr>
      <w:r>
        <w:rPr>
          <w:b/>
        </w:rPr>
        <w:t xml:space="preserve">Terreno: </w:t>
      </w:r>
      <w:r>
        <w:t>las visitas a dealers con su resultado y seguimiento (Ruta AutoFácil) son la versión en terreno de la misma idea: gestión registrada o gestión que no existió.</w:t>
      </w:r>
    </w:p>
    <w:p>
      <w:r>
        <w:br w:type="page"/>
      </w:r>
    </w:p>
    <w:p>
      <w:pPr>
        <w:pStyle w:val="Heading1"/>
      </w:pPr>
      <w:r>
        <w:t>5. Gobierno</w:t>
      </w:r>
    </w:p>
    <w:p>
      <w:pPr>
        <w:pStyle w:val="ListBullet"/>
      </w:pPr>
      <w:r>
        <w:rPr>
          <w:b/>
        </w:rPr>
        <w:t xml:space="preserve">Permisos: </w:t>
      </w:r>
      <w:r>
        <w:t>los módulos tienen permisos separados para operar y para administrar; las campañas cerradas quedan como histórico.</w:t>
      </w:r>
    </w:p>
    <w:p>
      <w:pPr>
        <w:pStyle w:val="ListBullet"/>
      </w:pPr>
      <w:r>
        <w:rPr>
          <w:b/>
        </w:rPr>
        <w:t xml:space="preserve">Límites legales: </w:t>
      </w:r>
      <w:r>
        <w:t>en cobranza, el tope semanal de gestiones es de ley y se controla contra la bitácora única — una campaña de cobranza no puede saltárselo.</w:t>
      </w:r>
    </w:p>
    <w:p>
      <w:pPr>
        <w:pStyle w:val="ListBullet"/>
      </w:pPr>
      <w:r>
        <w:rPr>
          <w:b/>
        </w:rPr>
        <w:t xml:space="preserve">Canales protegidos: </w:t>
      </w:r>
      <w:r>
        <w:t>el Modo Desarrollo simula todos los envíos; las plantillas de WhatsApp pasan por aprobación de Meta; el remitente del correo es el oficial del sistema.</w:t>
      </w:r>
    </w:p>
    <w:p>
      <w:pPr>
        <w:pStyle w:val="ListBullet"/>
      </w:pPr>
      <w:r>
        <w:rPr>
          <w:b/>
        </w:rPr>
        <w:t xml:space="preserve">Costos: </w:t>
      </w:r>
      <w:r>
        <w:t>el costo de los envíos de WhatsApp con plantilla y de los informes DealerNet del análisis previo se gobierna como toda integración (ver documento de Integraciones).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