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2520000" cy="1015141"/>
            <wp:docPr id="1" name="Picture 1"/>
            <wp:cNvGraphicFramePr>
              <a:graphicFrameLocks noChangeAspect="1"/>
            </wp:cNvGraphicFramePr>
            <a:graphic>
              <a:graphicData uri="http://schemas.openxmlformats.org/drawingml/2006/picture">
                <pic:pic>
                  <pic:nvPicPr>
                    <pic:cNvPr id="0" name="logo-bs.png"/>
                    <pic:cNvPicPr/>
                  </pic:nvPicPr>
                  <pic:blipFill>
                    <a:blip r:embed="rId9"/>
                    <a:stretch>
                      <a:fillRect/>
                    </a:stretch>
                  </pic:blipFill>
                  <pic:spPr>
                    <a:xfrm>
                      <a:off x="0" y="0"/>
                      <a:ext cx="2520000" cy="1015141"/>
                    </a:xfrm>
                    <a:prstGeom prst="rect"/>
                  </pic:spPr>
                </pic:pic>
              </a:graphicData>
            </a:graphic>
          </wp:inline>
        </w:drawing>
      </w:r>
    </w:p>
    <w:p>
      <w:pPr>
        <w:spacing w:after="360"/>
      </w:pPr>
    </w:p>
    <w:p>
      <w:pPr>
        <w:jc w:val="center"/>
      </w:pPr>
      <w:r>
        <w:rPr>
          <w:b/>
          <w:i w:val="0"/>
          <w:color w:val="012D70"/>
          <w:sz w:val="56"/>
        </w:rPr>
        <w:t>POST VENTA Y PARQUES</w:t>
      </w:r>
    </w:p>
    <w:p>
      <w:pPr>
        <w:jc w:val="center"/>
      </w:pPr>
      <w:r>
        <w:rPr>
          <w:b w:val="0"/>
          <w:i w:val="0"/>
          <w:color w:val="0141A2"/>
          <w:sz w:val="32"/>
        </w:rPr>
        <w:t>AutoFácil Business Suite</w:t>
      </w:r>
    </w:p>
    <w:p>
      <w:pPr>
        <w:spacing w:after="520"/>
      </w:pPr>
    </w:p>
    <w:p>
      <w:pPr>
        <w:jc w:val="center"/>
      </w:pPr>
      <w:r>
        <w:rPr>
          <w:b w:val="0"/>
          <w:i w:val="0"/>
          <w:color w:val="475569"/>
          <w:sz w:val="24"/>
        </w:rPr>
        <w:t>Después del curse: pagarle bien al canal, a tiempo,</w:t>
      </w:r>
    </w:p>
    <w:p>
      <w:pPr>
        <w:jc w:val="center"/>
      </w:pPr>
      <w:r>
        <w:rPr>
          <w:b w:val="0"/>
          <w:i w:val="0"/>
          <w:color w:val="475569"/>
          <w:sz w:val="24"/>
        </w:rPr>
        <w:t>con respaldo tributario y cuadratura exacta.</w:t>
      </w:r>
    </w:p>
    <w:p/>
    <w:p/>
    <w:p/>
    <w:p/>
    <w:p/>
    <w:p/>
    <w:p>
      <w:pPr>
        <w:jc w:val="center"/>
      </w:pPr>
      <w:r>
        <w:rPr>
          <w:b w:val="0"/>
          <w:i w:val="0"/>
          <w:color w:val="9AA0A6"/>
          <w:sz w:val="22"/>
        </w:rPr>
        <w:t>Versión 1.0 · 17 de agosto de 2026</w:t>
      </w:r>
    </w:p>
    <w:p>
      <w:pPr>
        <w:jc w:val="center"/>
      </w:pPr>
      <w:r>
        <w:rPr>
          <w:b w:val="0"/>
          <w:i w:val="0"/>
          <w:color w:val="9AA0A6"/>
          <w:sz w:val="20"/>
        </w:rPr>
        <w:t>Documento interno — AutoFácil Crédito Automotriz</w:t>
      </w:r>
    </w:p>
    <w:p>
      <w:r>
        <w:br w:type="page"/>
      </w:r>
    </w:p>
    <w:p>
      <w:pPr>
        <w:pStyle w:val="Heading1"/>
      </w:pPr>
      <w:r>
        <w:t>1. Qué es Post Venta</w:t>
      </w:r>
    </w:p>
    <w:p>
      <w:r>
        <w:rPr>
          <w:b w:val="0"/>
          <w:i w:val="0"/>
        </w:rPr>
        <w:t>Cuando una operación se cursa, empieza la mitad del negocio que el cliente no ve: recibir los fondos de la financiera, entregarle al dealer el saldo del precio del vehículo, pagarle su comisión (y al parque la suya más el arriendo), con cada paso fechado, cada documento cuadrado y cada peso contabilizado. Eso es Post Venta: el área donde el compromiso comercial se convierte en plata bien pagada.</w:t>
      </w:r>
    </w:p>
    <w:p>
      <w:r>
        <w:rPr>
          <w:b w:val="0"/>
          <w:i w:val="0"/>
        </w:rPr>
        <w:t>El principio del área: al canal se le paga EXACTO y A TIEMPO — ni un peso de más (por eso las cuadraturas estrictas) ni un día de atraso injustificado (por eso los SLA y el seguimiento en vivo). La relación con la red se sostiene ahí.</w:t>
      </w:r>
    </w:p>
    <w:p>
      <w:r>
        <w:br w:type="page"/>
      </w:r>
    </w:p>
    <w:p>
      <w:pPr>
        <w:pStyle w:val="Heading1"/>
      </w:pPr>
      <w:r>
        <w:t>2. Los tracks de etapas: la columna vertebral</w:t>
      </w:r>
    </w:p>
    <w:p>
      <w:r>
        <w:rPr>
          <w:b w:val="0"/>
          <w:i w:val="0"/>
        </w:rPr>
        <w:t>Cada operación otorgada lleva sus rieles de etapas de seguimiento, por dimensión: el track del SALDO PRECIO (fundantes recibidos → liberado a pago → orden emitida → enviado a pago → pagado), el de la COMISIÓN del dealer y el del PARQUE. Cada etapa queda con su fecha, y esas fechas son las que mandan.</w:t>
      </w:r>
    </w:p>
    <w:tbl>
      <w:tblPr>
        <w:tblW w:type="auto" w:w="0"/>
        <w:jc w:val="center"/>
        <w:tblLook w:firstColumn="1" w:firstRow="1" w:lastColumn="0" w:lastRow="0" w:noHBand="0" w:noVBand="1" w:val="04A0"/>
      </w:tblPr>
      <w:tblGrid>
        <w:gridCol w:w="9354"/>
      </w:tblGrid>
      <w:tr>
        <w:tc>
          <w:tcPr>
            <w:tcW w:type="dxa" w:w="9354"/>
            <w:shd w:val="clear" w:fill="FEE2E2"/>
          </w:tcPr>
          <w:p>
            <w:r>
              <w:rPr>
                <w:b/>
                <w:color w:val="B91C1C"/>
                <w:sz w:val="21"/>
              </w:rPr>
              <w:t>🔒 Regla del sistema</w:t>
            </w:r>
          </w:p>
          <w:p>
            <w:pPr>
              <w:spacing w:after="40"/>
            </w:pPr>
            <w:r>
              <w:rPr>
                <w:sz w:val="21"/>
              </w:rPr>
              <w:t>Las etapas NO se marcan a mano: cada una la estampa el módulo dueño del paso — la cartola marca las etapas de cartola, el módulo de pago marca ORDEN EMITIDA, ENVIADO A PAGO y PAGADA. Una etapa marcada a mano rompe la trazabilidad y — como las cartolas se cortan por estas fechas — puede mover plata de mes.</w:t>
            </w:r>
          </w:p>
        </w:tc>
      </w:tr>
    </w:tbl>
    <w:p>
      <w:pPr>
        <w:spacing w:after="40"/>
      </w:pPr>
    </w:p>
    <w:tbl>
      <w:tblPr>
        <w:tblW w:type="auto" w:w="0"/>
        <w:jc w:val="center"/>
        <w:tblLook w:firstColumn="1" w:firstRow="1" w:lastColumn="0" w:lastRow="0" w:noHBand="0" w:noVBand="1" w:val="04A0"/>
      </w:tblPr>
      <w:tblGrid>
        <w:gridCol w:w="9354"/>
      </w:tblGrid>
      <w:tr>
        <w:tc>
          <w:tcPr>
            <w:tcW w:type="dxa" w:w="9354"/>
            <w:shd w:val="clear" w:fill="FEF3C7"/>
          </w:tcPr>
          <w:p>
            <w:r>
              <w:rPr>
                <w:b/>
                <w:color w:val="B45F06"/>
                <w:sz w:val="21"/>
              </w:rPr>
              <w:t>⚠ OJO</w:t>
            </w:r>
          </w:p>
          <w:p>
            <w:pPr>
              <w:spacing w:after="40"/>
            </w:pPr>
            <w:r>
              <w:rPr>
                <w:sz w:val="21"/>
              </w:rPr>
              <w:t>Consecuencia práctica: si una operación "no aparece" en una cartola o en un informe de saldos, lo primero es mirar las FECHAS DE SUS ETAPAS, no los campos de la ficha del crédito. El universo de cada documento se corta por el track, no por la ficha.</w:t>
            </w:r>
          </w:p>
        </w:tc>
      </w:tr>
    </w:tbl>
    <w:p>
      <w:pPr>
        <w:spacing w:after="40"/>
      </w:pPr>
    </w:p>
    <w:p>
      <w:r>
        <w:br w:type="page"/>
      </w:r>
    </w:p>
    <w:p>
      <w:pPr>
        <w:pStyle w:val="Heading1"/>
      </w:pPr>
      <w:r>
        <w:t>3. El saldo precio: plata en tránsito</w:t>
      </w:r>
    </w:p>
    <w:p>
      <w:r>
        <w:rPr>
          <w:b w:val="0"/>
          <w:i w:val="0"/>
        </w:rPr>
        <w:t>La financiera transfiere el saldo del precio del vehículo y AutoFácil se lo entrega íntegro al dealer. Somos intermediarios: el monto pasa por nuestras cuentas sin ser ingreso ni gasto (cuenta de paso contable). El compromiso operacional es el SLA por categoría del dealer — 24/48/72 horas hábiles según sea Super Partner, Partner o Socio (recepción en la tarde cuenta desde el día hábil siguiente).</w:t>
      </w:r>
    </w:p>
    <w:p>
      <w:pPr>
        <w:pStyle w:val="ListBullet"/>
      </w:pPr>
      <w:r>
        <w:rPr>
          <w:b/>
        </w:rPr>
        <w:t xml:space="preserve">El flujo: </w:t>
      </w:r>
      <w:r>
        <w:t>definir fondos → armar la nómina → emitir la orden → pagar. Al pagarse, los informes salen solos a Operaciones y al ejecutivo, y el correo al dealer.</w:t>
      </w:r>
    </w:p>
    <w:p>
      <w:pPr>
        <w:pStyle w:val="ListBullet"/>
      </w:pPr>
      <w:r>
        <w:rPr>
          <w:b/>
        </w:rPr>
        <w:t xml:space="preserve">Seguimiento en vivo: </w:t>
      </w:r>
      <w:r>
        <w:t>la card de Tesorería reconstruye en vivo la planilla que antes se llevaba a mano: recepción con AM/PM, vencimiento por SLA, número de orden, carga al banco y pago.</w:t>
      </w:r>
    </w:p>
    <w:p>
      <w:pPr>
        <w:pStyle w:val="ListBullet"/>
      </w:pPr>
      <w:r>
        <w:rPr>
          <w:b/>
        </w:rPr>
        <w:t xml:space="preserve">Autoservicio: </w:t>
      </w:r>
      <w:r>
        <w:t>el dealer ve este mismo pipeline en su portal — las cuatro tarjetas del inicio — y deja de llamar a preguntar cuándo le pagan.</w:t>
      </w:r>
    </w:p>
    <w:tbl>
      <w:tblPr>
        <w:tblW w:type="auto" w:w="0"/>
        <w:jc w:val="center"/>
        <w:tblLook w:firstColumn="1" w:firstRow="1" w:lastColumn="0" w:lastRow="0" w:noHBand="0" w:noVBand="1" w:val="04A0"/>
      </w:tblPr>
      <w:tblGrid>
        <w:gridCol w:w="9354"/>
      </w:tblGrid>
      <w:tr>
        <w:tc>
          <w:tcPr>
            <w:tcW w:type="dxa" w:w="9354"/>
            <w:shd w:val="clear" w:fill="F1F5F9"/>
          </w:tcPr>
          <w:p>
            <w:pPr>
              <w:jc w:val="center"/>
            </w:pPr>
            <w:r>
              <w:rPr>
                <w:b/>
                <w:color w:val="475569"/>
                <w:sz w:val="20"/>
              </w:rPr>
              <w:t>📸 CAPTURA 1 · Tesorería → Saldo Precio en Proceso de Pago</w:t>
            </w:r>
          </w:p>
          <w:p>
            <w:pPr>
              <w:jc w:val="center"/>
            </w:pPr>
            <w:r>
              <w:rPr>
                <w:i/>
                <w:color w:val="9AA0A6"/>
                <w:sz w:val="18"/>
              </w:rPr>
              <w:t>La card con operaciones en distintos estados y sus SLA.</w:t>
            </w:r>
          </w:p>
        </w:tc>
      </w:tr>
    </w:tbl>
    <w:p>
      <w:pPr>
        <w:spacing w:after="40"/>
      </w:pPr>
    </w:p>
    <w:p>
      <w:r>
        <w:br w:type="page"/>
      </w:r>
    </w:p>
    <w:p>
      <w:pPr>
        <w:pStyle w:val="Heading1"/>
      </w:pPr>
      <w:r>
        <w:t>4. El circuito del dealer: cartola → factura → pago</w:t>
      </w:r>
    </w:p>
    <w:p>
      <w:pPr>
        <w:spacing w:before="120" w:after="120"/>
        <w:jc w:val="center"/>
      </w:pPr>
      <w:r>
        <w:rPr>
          <w:b/>
          <w:i w:val="0"/>
          <w:color w:val="0141A2"/>
          <w:sz w:val="21"/>
        </w:rPr>
        <w:t>A PAGAR → CARTOLA ENVIADA → FACTURA CUADRADA → ORDEN DE PAGO → PAGADA</w:t>
      </w:r>
    </w:p>
    <w:p>
      <w:r>
        <w:rPr>
          <w:b w:val="0"/>
          <w:i w:val="0"/>
        </w:rPr>
        <w:t>La comisión del dealer nace con la carta (la carta manda), entra a su cartola mensual, el dealer factura el TOTAL exacto de la cartola, y la orden de pago cierra el circuito. Tres reglas sostienen la limpieza del proceso:</w:t>
      </w:r>
    </w:p>
    <w:p>
      <w:pPr>
        <w:pStyle w:val="ListBullet"/>
      </w:pPr>
      <w:r>
        <w:rPr>
          <w:b/>
        </w:rPr>
        <w:t xml:space="preserve">Regla de oro: </w:t>
      </w:r>
      <w:r>
        <w:t>una operación cuya etapa no sea OTORGADO — anulada, desistida, rechazada o inexistente — no puede estar en una cartola. Nació de una auditoría que encontró $2,7 MM esperando pago sobre negocios que nunca se cursaron.</w:t>
      </w:r>
    </w:p>
    <w:p>
      <w:pPr>
        <w:pStyle w:val="ListBullet"/>
      </w:pPr>
      <w:r>
        <w:rPr>
          <w:b/>
        </w:rPr>
        <w:t xml:space="preserve">Una cartola por RUT: </w:t>
      </w:r>
      <w:r>
        <w:t>las operaciones se agrupan por el RUT del dealer y el nombre sale de su ficha. El mismo RUT escrito de dos formas generaba dos cartolas, dos facturas y dos pagos.</w:t>
      </w:r>
    </w:p>
    <w:p>
      <w:pPr>
        <w:pStyle w:val="ListBullet"/>
      </w:pPr>
      <w:r>
        <w:rPr>
          <w:b/>
        </w:rPr>
        <w:t xml:space="preserve">El IVA va incluido: </w:t>
      </w:r>
      <w:r>
        <w:t>la comisión calculada es BRUTA (IVA incluido) y se desagrega hacia abajo. Con factura se paga el bruto; con boleta de honorarios, el líquido con su retención al F29. Jamás se suma IVA encima.</w:t>
      </w:r>
    </w:p>
    <w:p>
      <w:pPr>
        <w:pStyle w:val="Heading2"/>
      </w:pPr>
      <w:r>
        <w:t>4.1 Los caminos de excepción</w:t>
      </w:r>
    </w:p>
    <w:p>
      <w:pPr>
        <w:pStyle w:val="ListBullet"/>
      </w:pPr>
      <w:r>
        <w:rPr>
          <w:b/>
        </w:rPr>
        <w:t xml:space="preserve">Otorgadas sin carta: </w:t>
      </w:r>
      <w:r>
        <w:t>las operaciones que entraron por carga masiva no generan carta, así que su comisión no llegaba a ninguna cartola. La pantalla de incorporación las confirma dato a dato contra el motor: las que calzan entran solas, las que difieren pasan por aprobación del analista.</w:t>
      </w:r>
    </w:p>
    <w:p>
      <w:pPr>
        <w:pStyle w:val="ListBullet"/>
      </w:pPr>
      <w:r>
        <w:rPr>
          <w:b/>
        </w:rPr>
        <w:t xml:space="preserve">Anulaciones: </w:t>
      </w:r>
      <w:r>
        <w:t>anular una operación retira su comisión de la cartola en el mismo acto (con doble firma). Si la cartola ya se envió, el movimiento no se toca: se regulariza como descuento, no se borra a espaldas del dealer.</w:t>
      </w:r>
    </w:p>
    <w:p>
      <w:pPr>
        <w:pStyle w:val="ListBullet"/>
      </w:pPr>
      <w:r>
        <w:rPr>
          <w:b/>
        </w:rPr>
        <w:t xml:space="preserve">Correcciones: </w:t>
      </w:r>
      <w:r>
        <w:t>al corregir el dealer de una carta aprobada, la corrección alcanza la carta, sus movimientos no enviados y el crédito — los tres a la vez, para que no queden dos verdades.</w:t>
      </w:r>
    </w:p>
    <w:tbl>
      <w:tblPr>
        <w:tblW w:type="auto" w:w="0"/>
        <w:jc w:val="center"/>
        <w:tblLook w:firstColumn="1" w:firstRow="1" w:lastColumn="0" w:lastRow="0" w:noHBand="0" w:noVBand="1" w:val="04A0"/>
      </w:tblPr>
      <w:tblGrid>
        <w:gridCol w:w="9354"/>
      </w:tblGrid>
      <w:tr>
        <w:tc>
          <w:tcPr>
            <w:tcW w:type="dxa" w:w="9354"/>
            <w:shd w:val="clear" w:fill="F1F5F9"/>
          </w:tcPr>
          <w:p>
            <w:pPr>
              <w:jc w:val="center"/>
            </w:pPr>
            <w:r>
              <w:rPr>
                <w:b/>
                <w:color w:val="475569"/>
                <w:sz w:val="20"/>
              </w:rPr>
              <w:t>📸 CAPTURA 2 · Post Venta → Cartolas</w:t>
            </w:r>
          </w:p>
          <w:p>
            <w:pPr>
              <w:jc w:val="center"/>
            </w:pPr>
            <w:r>
              <w:rPr>
                <w:i/>
                <w:color w:val="9AA0A6"/>
                <w:sz w:val="18"/>
              </w:rPr>
              <w:t>Una cartola de dealer con sus movimientos y el estado de la factura.</w:t>
            </w:r>
          </w:p>
        </w:tc>
      </w:tr>
    </w:tbl>
    <w:p>
      <w:pPr>
        <w:spacing w:after="40"/>
      </w:pPr>
    </w:p>
    <w:p>
      <w:r>
        <w:br w:type="page"/>
      </w:r>
    </w:p>
    <w:p>
      <w:pPr>
        <w:pStyle w:val="Heading1"/>
      </w:pPr>
      <w:r>
        <w:t>5. Los parques automotrices</w:t>
      </w:r>
    </w:p>
    <w:p>
      <w:r>
        <w:rPr>
          <w:b w:val="0"/>
          <w:i w:val="0"/>
        </w:rPr>
        <w:t>El parque es una contraparte comercial propia: el recinto donde operan varios dealers. Gana por dos vías — una comisión por cada crédito cursado en el parque y un arriendo mensual fijo — y su circuito replica el del dealer, agregado por parque.</w:t>
      </w:r>
    </w:p>
    <w:p>
      <w:pPr>
        <w:pStyle w:val="Heading2"/>
      </w:pPr>
      <w:r>
        <w:t>5.1 La entidad y su incorporación</w:t>
      </w:r>
    </w:p>
    <w:p>
      <w:r>
        <w:rPr>
          <w:b w:val="0"/>
          <w:i w:val="0"/>
        </w:rPr>
        <w:t>Un parque se incorpora por la MISMA máquina de la ficha del dealer: informes de la empresa y los socios, análisis de IA, cadena de niveles, firma del representante y cierre. La diferencia es el final: al cerrar se crea el parque con arriendo y comisión en cero, que se fijan en el mantenedor Arriendos y Comisiones.</w:t>
      </w:r>
    </w:p>
    <w:tbl>
      <w:tblPr>
        <w:tblW w:type="auto" w:w="0"/>
        <w:jc w:val="center"/>
        <w:tblLook w:firstColumn="1" w:firstRow="1" w:lastColumn="0" w:lastRow="0" w:noHBand="0" w:noVBand="1" w:val="04A0"/>
      </w:tblPr>
      <w:tblGrid>
        <w:gridCol w:w="9354"/>
      </w:tblGrid>
      <w:tr>
        <w:tc>
          <w:tcPr>
            <w:tcW w:type="dxa" w:w="9354"/>
            <w:shd w:val="clear" w:fill="FEF3C7"/>
          </w:tcPr>
          <w:p>
            <w:r>
              <w:rPr>
                <w:b/>
                <w:color w:val="B45F06"/>
                <w:sz w:val="21"/>
              </w:rPr>
              <w:t>⚠ OJO</w:t>
            </w:r>
          </w:p>
          <w:p>
            <w:pPr>
              <w:spacing w:after="40"/>
            </w:pPr>
            <w:r>
              <w:rPr>
                <w:sz w:val="21"/>
              </w:rPr>
              <w:t>El parque de cada OPERACIÓN viene del Excel de carga (o de la carta), no del mantenedor: si la operación no trae su parque, no genera comisión de parque. Y si la carta dice parque y el crédito quedó como calle (o al revés), el sistema lo muestra en ámbar y lo decide una persona — esa diferencia cambia el tramo de comisión.</w:t>
            </w:r>
          </w:p>
        </w:tc>
      </w:tr>
    </w:tbl>
    <w:p>
      <w:pPr>
        <w:spacing w:after="40"/>
      </w:pPr>
    </w:p>
    <w:p>
      <w:pPr>
        <w:pStyle w:val="Heading2"/>
      </w:pPr>
      <w:r>
        <w:t>5.2 La cartola del parque y su foto</w:t>
      </w:r>
    </w:p>
    <w:p>
      <w:r>
        <w:rPr>
          <w:b w:val="0"/>
          <w:i w:val="0"/>
        </w:rPr>
        <w:t>A la cartola del mes T entran las operaciones otorgadas en T o antes (arrastre) cuya comisión no se ha cobrado y cuyo saldo precio quedó al menos LIBERADO A PAGO al cierre de T — una operación liberada tarde no se pierde: entra sola al mes siguiente.</w:t>
      </w:r>
    </w:p>
    <w:tbl>
      <w:tblPr>
        <w:tblW w:type="auto" w:w="0"/>
        <w:jc w:val="center"/>
        <w:tblLook w:firstColumn="1" w:firstRow="1" w:lastColumn="0" w:lastRow="0" w:noHBand="0" w:noVBand="1" w:val="04A0"/>
      </w:tblPr>
      <w:tblGrid>
        <w:gridCol w:w="9354"/>
      </w:tblGrid>
      <w:tr>
        <w:tc>
          <w:tcPr>
            <w:tcW w:type="dxa" w:w="9354"/>
            <w:shd w:val="clear" w:fill="FEE2E2"/>
          </w:tcPr>
          <w:p>
            <w:r>
              <w:rPr>
                <w:b/>
                <w:color w:val="B91C1C"/>
                <w:sz w:val="21"/>
              </w:rPr>
              <w:t>🔒 Regla del sistema</w:t>
            </w:r>
          </w:p>
          <w:p>
            <w:pPr>
              <w:spacing w:after="40"/>
            </w:pPr>
            <w:r>
              <w:rPr>
                <w:sz w:val="21"/>
              </w:rPr>
              <w:t>Al aprobar el mes queda una FOTO por operación: qué cartola cobró qué operación. Esa foto es lo que se imprime, factura y paga — el documento no cambia aunque las etapas avancen después. Es el mismo principio del snapshot deliberado que rige cartolas de dealers y finiquitos.</w:t>
            </w:r>
          </w:p>
        </w:tc>
      </w:tr>
    </w:tbl>
    <w:p>
      <w:pPr>
        <w:spacing w:after="40"/>
      </w:pPr>
    </w:p>
    <w:p>
      <w:pPr>
        <w:spacing w:before="160" w:after="40"/>
      </w:pPr>
      <w:r>
        <w:rPr>
          <w:b/>
          <w:color w:val="012D70"/>
        </w:rPr>
        <w:t>Paso 1 — Aprobar el mes y emitir</w:t>
      </w:r>
    </w:p>
    <w:p>
      <w:pPr>
        <w:ind w:left="340"/>
      </w:pPr>
      <w:r>
        <w:t>La cartola lista las operaciones más la línea de arriendo (que es del parque, no de un crédito).</w:t>
      </w:r>
    </w:p>
    <w:p>
      <w:pPr>
        <w:spacing w:before="160" w:after="40"/>
      </w:pPr>
      <w:r>
        <w:rPr>
          <w:b/>
          <w:color w:val="012D70"/>
        </w:rPr>
        <w:t>Paso 2 — Enviar</w:t>
      </w:r>
    </w:p>
    <w:p>
      <w:pPr>
        <w:ind w:left="340"/>
      </w:pPr>
      <w:r>
        <w:t>El correo sale del servidor con el PDF adjunto al contacto de finanzas de la ficha del parque, con copia a operaciones.</w:t>
      </w:r>
    </w:p>
    <w:p>
      <w:pPr>
        <w:spacing w:before="160" w:after="40"/>
      </w:pPr>
      <w:r>
        <w:rPr>
          <w:b/>
          <w:color w:val="012D70"/>
        </w:rPr>
        <w:t>Paso 3 — Facturar</w:t>
      </w:r>
    </w:p>
    <w:p>
      <w:pPr>
        <w:ind w:left="340"/>
      </w:pPr>
      <w:r>
        <w:t>El parque factura el TOTAL; la cuadratura es estricta — si no calza, se rechaza con la diferencia. Al cuadrar, FACTURA RECIBIDA en todas las operaciones.</w:t>
      </w:r>
    </w:p>
    <w:p>
      <w:pPr>
        <w:spacing w:before="160" w:after="40"/>
      </w:pPr>
      <w:r>
        <w:rPr>
          <w:b/>
          <w:color w:val="012D70"/>
        </w:rPr>
        <w:t>Paso 4 — Pagar</w:t>
      </w:r>
    </w:p>
    <w:p>
      <w:pPr>
        <w:ind w:left="340"/>
      </w:pPr>
      <w:r>
        <w:t>La orden de pago mensual nace de la factura (solo con factura en todas las operaciones) y al pagarse marca COMISIÓN PAGADA.</w:t>
      </w:r>
    </w:p>
    <w:tbl>
      <w:tblPr>
        <w:tblW w:type="auto" w:w="0"/>
        <w:jc w:val="center"/>
        <w:tblLook w:firstColumn="1" w:firstRow="1" w:lastColumn="0" w:lastRow="0" w:noHBand="0" w:noVBand="1" w:val="04A0"/>
      </w:tblPr>
      <w:tblGrid>
        <w:gridCol w:w="9354"/>
      </w:tblGrid>
      <w:tr>
        <w:tc>
          <w:tcPr>
            <w:tcW w:type="dxa" w:w="9354"/>
            <w:shd w:val="clear" w:fill="F1F5F9"/>
          </w:tcPr>
          <w:p>
            <w:pPr>
              <w:jc w:val="center"/>
            </w:pPr>
            <w:r>
              <w:rPr>
                <w:b/>
                <w:color w:val="475569"/>
                <w:sz w:val="20"/>
              </w:rPr>
              <w:t>📸 CAPTURA 3 · Post Venta → Emisión de Cartolas Parque</w:t>
            </w:r>
          </w:p>
          <w:p>
            <w:pPr>
              <w:jc w:val="center"/>
            </w:pPr>
            <w:r>
              <w:rPr>
                <w:i/>
                <w:color w:val="9AA0A6"/>
                <w:sz w:val="18"/>
              </w:rPr>
              <w:t>Una cartola de parque con operaciones, arriendo y total.</w:t>
            </w:r>
          </w:p>
        </w:tc>
      </w:tr>
    </w:tbl>
    <w:p>
      <w:pPr>
        <w:spacing w:after="40"/>
      </w:pPr>
    </w:p>
    <w:p>
      <w:pPr>
        <w:pStyle w:val="Heading2"/>
      </w:pPr>
      <w:r>
        <w:t>5.3 Reversas y contabilidad</w:t>
      </w:r>
    </w:p>
    <w:p>
      <w:pPr>
        <w:pStyle w:val="ListBullet"/>
      </w:pPr>
      <w:r>
        <w:rPr>
          <w:b/>
        </w:rPr>
        <w:t xml:space="preserve">Reversable con motivo: </w:t>
      </w:r>
      <w:r>
        <w:t>el envío se puede reversar (permite reenviar), la orden no pagada se anula (el correlativo muere, nunca se reutiliza) y el pago se puede revertir. Toda reversa con motivo auditado.</w:t>
      </w:r>
    </w:p>
    <w:p>
      <w:pPr>
        <w:pStyle w:val="ListBullet"/>
      </w:pPr>
      <w:r>
        <w:rPr>
          <w:b/>
        </w:rPr>
        <w:t xml:space="preserve">Asientos automáticos: </w:t>
      </w:r>
      <w:r>
        <w:t>al aprobar el mes se devenga el gasto (arriendo y comisión en cuentas separadas contra el pasivo); al pagar, el pasivo se rebaja contra banco. Cada asiento es idempotente: aprobar dos veces no duplica.</w:t>
      </w:r>
    </w:p>
    <w:p>
      <w:pPr>
        <w:pStyle w:val="ListBullet"/>
      </w:pPr>
      <w:r>
        <w:rPr>
          <w:b/>
        </w:rPr>
        <w:t xml:space="preserve">Avisos configurables: </w:t>
      </w:r>
      <w:r>
        <w:t>los avisos (a Contabilidad al emitir, al parque y al equipo al pagar) son paramétricos: texto, destinatarios e interruptor por evento, sin tocar código.</w:t>
      </w:r>
    </w:p>
    <w:tbl>
      <w:tblPr>
        <w:tblW w:type="auto" w:w="0"/>
        <w:jc w:val="center"/>
        <w:tblLook w:firstColumn="1" w:firstRow="1" w:lastColumn="0" w:lastRow="0" w:noHBand="0" w:noVBand="1" w:val="04A0"/>
      </w:tblPr>
      <w:tblGrid>
        <w:gridCol w:w="9354"/>
      </w:tblGrid>
      <w:tr>
        <w:tc>
          <w:tcPr>
            <w:tcW w:type="dxa" w:w="9354"/>
            <w:shd w:val="clear" w:fill="ECFDF5"/>
          </w:tcPr>
          <w:p>
            <w:r>
              <w:rPr>
                <w:b/>
                <w:color w:val="15803D"/>
                <w:sz w:val="21"/>
              </w:rPr>
              <w:t>🧾 Caso real</w:t>
            </w:r>
          </w:p>
          <w:p>
            <w:pPr>
              <w:spacing w:after="40"/>
            </w:pPr>
            <w:r>
              <w:rPr>
                <w:sz w:val="21"/>
              </w:rPr>
              <w:t>La historia previa al módulo quedó regularizada en agosto 2026: 908 comisiones pagadas por planilla en 98 cartolas parque-mes (2025 completo y enero-julio 2026), por $106,5 MM más $13,5 MM de arriendos, marcadas pagadas sin duplicar su contabilidad — el pago ya había ocurrido y contabilizarlo de nuevo lo habría duplicado. Las operaciones con saldo precio pendiente quedaron fuera a propósito: arrastran solas a la cartola que corresponda.</w:t>
            </w:r>
          </w:p>
        </w:tc>
      </w:tr>
    </w:tbl>
    <w:p>
      <w:pPr>
        <w:spacing w:after="40"/>
      </w:pPr>
    </w:p>
    <w:p>
      <w:r>
        <w:br w:type="page"/>
      </w:r>
    </w:p>
    <w:p>
      <w:pPr>
        <w:pStyle w:val="Heading1"/>
      </w:pPr>
      <w:r>
        <w:t>6. La medición del canal</w:t>
      </w:r>
    </w:p>
    <w:p>
      <w:pPr>
        <w:pStyle w:val="ListBullet"/>
      </w:pPr>
      <w:r>
        <w:rPr>
          <w:b/>
        </w:rPr>
        <w:t xml:space="preserve">Vendedores con Ventas: </w:t>
      </w:r>
      <w:r>
        <w:t>quién del concesionario trae cada negocio, desde la carta (no desde la carga, que escribe a nuestro ejecutivo). Abre en el último mes cerrado.</w:t>
      </w:r>
    </w:p>
    <w:p>
      <w:pPr>
        <w:pStyle w:val="ListBullet"/>
      </w:pPr>
      <w:r>
        <w:rPr>
          <w:b/>
        </w:rPr>
        <w:t xml:space="preserve">Potencial de Dealers: </w:t>
      </w:r>
      <w:r>
        <w:t>qué dealer rinde bajo su potencial según su categoría — la agenda de la conversación comercial.</w:t>
      </w:r>
    </w:p>
    <w:p>
      <w:pPr>
        <w:pStyle w:val="ListBullet"/>
      </w:pPr>
      <w:r>
        <w:rPr>
          <w:b/>
        </w:rPr>
        <w:t xml:space="preserve">Cuadratura Trinidad: </w:t>
      </w:r>
      <w:r>
        <w:t>la cuadratura mensual contra el export del canal valida los montos de cada operación. Su columna de comisión dealer se ignora SIEMPRE: no es la nuestra.</w:t>
      </w:r>
    </w:p>
    <w:p>
      <w:r>
        <w:br w:type="page"/>
      </w:r>
    </w:p>
    <w:p>
      <w:pPr>
        <w:pStyle w:val="Heading1"/>
      </w:pPr>
      <w:r>
        <w:t>7. Gobierno</w:t>
      </w:r>
    </w:p>
    <w:p>
      <w:pPr>
        <w:pStyle w:val="ListBullet"/>
      </w:pPr>
      <w:r>
        <w:rPr>
          <w:b/>
        </w:rPr>
        <w:t xml:space="preserve">Segregación: </w:t>
      </w:r>
      <w:r>
        <w:t>Analistas y Gerencia de Operaciones operan (cartolas, órdenes); Tesorería y Gerencia de Finanzas pagan. Quien emite no paga.</w:t>
      </w:r>
    </w:p>
    <w:p>
      <w:pPr>
        <w:pStyle w:val="ListBullet"/>
      </w:pPr>
      <w:r>
        <w:rPr>
          <w:b/>
        </w:rPr>
        <w:t xml:space="preserve">Cierre de mes: </w:t>
      </w:r>
      <w:r>
        <w:t>las cartolas y comisiones son puntos del checklist de Cierre de Mes: el mes no cierra con el canal impago sin explicación.</w:t>
      </w:r>
    </w:p>
    <w:p>
      <w:pPr>
        <w:pStyle w:val="ListBullet"/>
      </w:pPr>
      <w:r>
        <w:rPr>
          <w:b/>
        </w:rPr>
        <w:t xml:space="preserve">Trazabilidad: </w:t>
      </w:r>
      <w:r>
        <w:t>todo el circuito escribe en Auditoría; las cartolas enviadas y las fotos aprobadas son los snapshots que un reclamo de dealer puede revisar meses después.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012D7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0141A2"/>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012D7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