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520000" cy="1015141"/>
            <wp:docPr id="1" name="Picture 1"/>
            <wp:cNvGraphicFramePr>
              <a:graphicFrameLocks noChangeAspect="1"/>
            </wp:cNvGraphicFramePr>
            <a:graphic>
              <a:graphicData uri="http://schemas.openxmlformats.org/drawingml/2006/picture">
                <pic:pic>
                  <pic:nvPicPr>
                    <pic:cNvPr id="0" name="logo-bs.png"/>
                    <pic:cNvPicPr/>
                  </pic:nvPicPr>
                  <pic:blipFill>
                    <a:blip r:embed="rId9"/>
                    <a:stretch>
                      <a:fillRect/>
                    </a:stretch>
                  </pic:blipFill>
                  <pic:spPr>
                    <a:xfrm>
                      <a:off x="0" y="0"/>
                      <a:ext cx="2520000" cy="1015141"/>
                    </a:xfrm>
                    <a:prstGeom prst="rect"/>
                  </pic:spPr>
                </pic:pic>
              </a:graphicData>
            </a:graphic>
          </wp:inline>
        </w:drawing>
      </w:r>
    </w:p>
    <w:p>
      <w:pPr>
        <w:spacing w:after="360"/>
      </w:pPr>
    </w:p>
    <w:p>
      <w:pPr>
        <w:jc w:val="center"/>
      </w:pPr>
      <w:r>
        <w:rPr>
          <w:b/>
          <w:i w:val="0"/>
          <w:color w:val="012D70"/>
          <w:sz w:val="48"/>
        </w:rPr>
        <w:t>COTIZACIONES Y EVALUACIÓN CREDITICIA</w:t>
      </w:r>
    </w:p>
    <w:p>
      <w:pPr>
        <w:jc w:val="center"/>
      </w:pPr>
      <w:r>
        <w:rPr>
          <w:b w:val="0"/>
          <w:i w:val="0"/>
          <w:color w:val="0141A2"/>
          <w:sz w:val="32"/>
        </w:rPr>
        <w:t>AutoFácil Business Suite</w:t>
      </w:r>
    </w:p>
    <w:p>
      <w:pPr>
        <w:spacing w:after="520"/>
      </w:pPr>
    </w:p>
    <w:p>
      <w:pPr>
        <w:jc w:val="center"/>
      </w:pPr>
      <w:r>
        <w:rPr>
          <w:b w:val="0"/>
          <w:i w:val="0"/>
          <w:color w:val="475569"/>
          <w:sz w:val="24"/>
        </w:rPr>
        <w:t>Del precio del auto a la decisión de crédito:</w:t>
      </w:r>
    </w:p>
    <w:p>
      <w:pPr>
        <w:jc w:val="center"/>
      </w:pPr>
      <w:r>
        <w:rPr>
          <w:b w:val="0"/>
          <w:i w:val="0"/>
          <w:color w:val="475569"/>
          <w:sz w:val="24"/>
        </w:rPr>
        <w:t>una cuota que no miente y una evaluación con toda la información.</w:t>
      </w:r>
    </w:p>
    <w:p/>
    <w:p/>
    <w:p/>
    <w:p/>
    <w:p/>
    <w:p/>
    <w:p>
      <w:pPr>
        <w:jc w:val="center"/>
      </w:pPr>
      <w:r>
        <w:rPr>
          <w:b w:val="0"/>
          <w:i w:val="0"/>
          <w:color w:val="9AA0A6"/>
          <w:sz w:val="22"/>
        </w:rPr>
        <w:t>Versión 1.0 · 17 de agosto de 2026</w:t>
      </w:r>
    </w:p>
    <w:p>
      <w:pPr>
        <w:jc w:val="center"/>
      </w:pPr>
      <w:r>
        <w:rPr>
          <w:b w:val="0"/>
          <w:i w:val="0"/>
          <w:color w:val="9AA0A6"/>
          <w:sz w:val="20"/>
        </w:rPr>
        <w:t>Documento interno — AutoFácil Crédito Automotriz</w:t>
      </w:r>
    </w:p>
    <w:p>
      <w:r>
        <w:br w:type="page"/>
      </w:r>
    </w:p>
    <w:p>
      <w:pPr>
        <w:pStyle w:val="Heading1"/>
      </w:pPr>
      <w:r>
        <w:t>1. Cotizaciones: la cuota que no miente</w:t>
      </w:r>
    </w:p>
    <w:p>
      <w:r>
        <w:rPr>
          <w:b w:val="0"/>
          <w:i w:val="0"/>
        </w:rPr>
        <w:t>La cotización convierte precio + pie + plazo en la cuota real que pagará el cliente — con gastos operacionales, seguros y CAE, no la cuota "pelada" que después crece. Un solo motor la calcula para todas las puertas de entrada.</w:t>
      </w:r>
    </w:p>
    <w:tbl>
      <w:tblPr>
        <w:tblStyle w:val="TableGrid"/>
        <w:tblW w:type="auto" w:w="0"/>
        <w:jc w:val="center"/>
        <w:tblLook w:firstColumn="1" w:firstRow="1" w:lastColumn="0" w:lastRow="0" w:noHBand="0" w:noVBand="1" w:val="04A0"/>
      </w:tblPr>
      <w:tblGrid>
        <w:gridCol w:w="4703"/>
        <w:gridCol w:w="4703"/>
      </w:tblGrid>
      <w:tr>
        <w:tc>
          <w:tcPr>
            <w:tcW w:type="dxa" w:w="1928"/>
            <w:shd w:val="clear" w:fill="EFF6FF"/>
          </w:tcPr>
          <w:p>
            <w:r>
              <w:rPr>
                <w:b/>
                <w:color w:val="012D70"/>
                <w:sz w:val="20"/>
              </w:rPr>
              <w:t>Pantalla</w:t>
            </w:r>
          </w:p>
        </w:tc>
        <w:tc>
          <w:tcPr>
            <w:tcW w:type="dxa" w:w="7427"/>
          </w:tcPr>
          <w:p>
            <w:r>
              <w:rPr>
                <w:sz w:val="20"/>
              </w:rPr>
              <w:t>Cotizaciones · Simulador Rápido · Portal del Dealer · Facilito (WhatsApp)</w:t>
            </w:r>
          </w:p>
        </w:tc>
      </w:tr>
      <w:tr>
        <w:tc>
          <w:tcPr>
            <w:tcW w:type="dxa" w:w="1928"/>
            <w:shd w:val="clear" w:fill="EFF6FF"/>
          </w:tcPr>
          <w:p>
            <w:r>
              <w:rPr>
                <w:b/>
                <w:color w:val="012D70"/>
                <w:sz w:val="20"/>
              </w:rPr>
              <w:t>Quién</w:t>
            </w:r>
          </w:p>
        </w:tc>
        <w:tc>
          <w:tcPr>
            <w:tcW w:type="dxa" w:w="7427"/>
          </w:tcPr>
          <w:p>
            <w:r>
              <w:rPr>
                <w:sz w:val="20"/>
              </w:rPr>
              <w:t>Ejecutivo comercial · el dealer desde su portal · el cliente vía Facilito</w:t>
            </w:r>
          </w:p>
        </w:tc>
      </w:tr>
      <w:tr>
        <w:tc>
          <w:tcPr>
            <w:tcW w:type="dxa" w:w="1928"/>
            <w:shd w:val="clear" w:fill="EFF6FF"/>
          </w:tcPr>
          <w:p>
            <w:r>
              <w:rPr>
                <w:b/>
                <w:color w:val="012D70"/>
                <w:sz w:val="20"/>
              </w:rPr>
              <w:t>Permisos</w:t>
            </w:r>
          </w:p>
        </w:tc>
        <w:tc>
          <w:tcPr>
            <w:tcW w:type="dxa" w:w="7427"/>
          </w:tcPr>
          <w:p>
            <w:r>
              <w:rPr>
                <w:sz w:val="20"/>
              </w:rPr>
              <w:t>Acceso al módulo Cotizaciones</w:t>
            </w:r>
          </w:p>
        </w:tc>
      </w:tr>
      <w:tr>
        <w:tc>
          <w:tcPr>
            <w:tcW w:type="dxa" w:w="1928"/>
            <w:shd w:val="clear" w:fill="EFF6FF"/>
          </w:tcPr>
          <w:p>
            <w:r>
              <w:rPr>
                <w:b/>
                <w:color w:val="012D70"/>
                <w:sz w:val="20"/>
              </w:rPr>
              <w:t>Prerequisitos</w:t>
            </w:r>
          </w:p>
        </w:tc>
        <w:tc>
          <w:tcPr>
            <w:tcW w:type="dxa" w:w="7427"/>
          </w:tcPr>
          <w:p>
            <w:r>
              <w:rPr>
                <w:sz w:val="20"/>
              </w:rPr>
              <w:t>Tasas vigentes · parámetros del crédito · UF del día</w:t>
            </w:r>
          </w:p>
        </w:tc>
      </w:tr>
    </w:tbl>
    <w:p>
      <w:pPr>
        <w:spacing w:after="40"/>
      </w:pPr>
    </w:p>
    <w:p>
      <w:pPr>
        <w:pStyle w:val="Heading2"/>
      </w:pPr>
      <w:r>
        <w:t>1.1 Cómo se arma la cuota</w:t>
      </w:r>
    </w:p>
    <w:p>
      <w:pPr>
        <w:spacing w:before="120" w:after="120"/>
        <w:jc w:val="center"/>
      </w:pPr>
      <w:r>
        <w:rPr>
          <w:b/>
          <w:i w:val="0"/>
          <w:color w:val="0141A2"/>
          <w:sz w:val="21"/>
        </w:rPr>
        <w:t>PRECIO − PIE = SALDO → + GASTOS OPERACIONALES → + SEGUROS → MONTO FINANCIADO → CUOTA FRANCESA</w:t>
      </w:r>
    </w:p>
    <w:p>
      <w:pPr>
        <w:pStyle w:val="ListBullet"/>
      </w:pPr>
      <w:r>
        <w:rPr>
          <w:b/>
        </w:rPr>
        <w:t xml:space="preserve">Gastos operacionales: </w:t>
      </w:r>
      <w:r>
        <w:t>prenda, inscripción, gestión, GPS y demás — paramétricos en Parámetros del Crédito.</w:t>
      </w:r>
    </w:p>
    <w:p>
      <w:pPr>
        <w:pStyle w:val="ListBullet"/>
      </w:pPr>
      <w:r>
        <w:rPr>
          <w:b/>
        </w:rPr>
        <w:t xml:space="preserve">Seguros: </w:t>
      </w:r>
      <w:r>
        <w:t>el paquete completo (desgravamen + RDH + cesantía) con el factor actuarial de la aseguradora por tramo de plazo — mantenedor Factores de Seguros. Desmarcar un seguro recalcula todo.</w:t>
      </w:r>
    </w:p>
    <w:p>
      <w:pPr>
        <w:pStyle w:val="ListBullet"/>
      </w:pPr>
      <w:r>
        <w:rPr>
          <w:b/>
        </w:rPr>
        <w:t xml:space="preserve">Tasa: </w:t>
      </w:r>
      <w:r>
        <w:t>la del mantenedor de Tasas para el tramo (mayor/menor 200 UF) a la fecha. La cuota es francesa sobre el monto financiado total.</w:t>
      </w:r>
    </w:p>
    <w:p>
      <w:pPr>
        <w:pStyle w:val="ListBullet"/>
      </w:pPr>
      <w:r>
        <w:rPr>
          <w:b/>
        </w:rPr>
        <w:t xml:space="preserve">CAE: </w:t>
      </w:r>
      <w:r>
        <w:t>el costo total del crédito expresado como exige la ley, calculado por su motor.</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Las cuatro puertas cotizan con el MISMO motor: la cuota que da Facilito por WhatsApp es la que da el simulador del ejecutivo y la pre-aprobación del dealer. Una cotización distinta entre canales es un bug, no una promoción.</w:t>
            </w:r>
          </w:p>
        </w:tc>
      </w:tr>
    </w:tbl>
    <w:p>
      <w:pPr>
        <w:spacing w:after="40"/>
      </w:pPr>
    </w:p>
    <w:p>
      <w:pPr>
        <w:pStyle w:val="Heading2"/>
      </w:pPr>
      <w:r>
        <w:t>1.2 La cotización queda guardada</w:t>
      </w:r>
    </w:p>
    <w:p>
      <w:r>
        <w:rPr>
          <w:b w:val="0"/>
          <w:i w:val="0"/>
        </w:rPr>
        <w:t>Toda cotización — incluidas las del bot — queda guardada al RUT en la tabla única de cotizaciones. Cuando el negocio avanza, la evaluación y la carta parten de ahí; y la estadística de conversión cotización→carta→curse tiene su materia prima.</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1 · Cotizaciones → simulador</w:t>
            </w:r>
          </w:p>
          <w:p>
            <w:pPr>
              <w:jc w:val="center"/>
            </w:pPr>
            <w:r>
              <w:rPr>
                <w:i/>
                <w:color w:val="9AA0A6"/>
                <w:sz w:val="18"/>
              </w:rPr>
              <w:t>Una cotización completa con gastos, seguros, CAE y la cuota final.</w:t>
            </w:r>
          </w:p>
        </w:tc>
      </w:tr>
    </w:tbl>
    <w:p>
      <w:pPr>
        <w:spacing w:after="40"/>
      </w:pPr>
    </w:p>
    <w:p>
      <w:pPr>
        <w:pStyle w:val="Heading2"/>
      </w:pPr>
      <w:r>
        <w:t>1.3 ¿Dónde Curso?: la cotización con veredicto</w:t>
      </w:r>
    </w:p>
    <w:p>
      <w:r>
        <w:rPr>
          <w:b w:val="0"/>
          <w:i w:val="0"/>
        </w:rPr>
        <w:t>La PWA del ejecutivo agrega a la cotización el veredicto de financiera: AUTOFIN, UNIDAD o DECIDES TÚ, con la rentabilidad de cada lado. Primero elegibilidad (el cuadro de Preferencia Financiera), después rentabilidad, con el umbral de empate. El detalle vive en el Manual del Ejecutivo (cap. 3) y el motor en el documento de Motores (4.2).</w:t>
      </w:r>
    </w:p>
    <w:p>
      <w:r>
        <w:br w:type="page"/>
      </w:r>
    </w:p>
    <w:p>
      <w:pPr>
        <w:pStyle w:val="Heading1"/>
      </w:pPr>
      <w:r>
        <w:t>2. La ficha del cliente: la materia prima</w:t>
      </w:r>
    </w:p>
    <w:p>
      <w:r>
        <w:rPr>
          <w:b w:val="0"/>
          <w:i w:val="0"/>
        </w:rPr>
        <w:t>La evaluación es tan buena como sus datos. El sistema los organiza en tres piezas con fuente única:</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012D70"/>
          </w:tcPr>
          <w:p>
            <w:r>
              <w:rPr>
                <w:b/>
                <w:color w:val="FFFFFF"/>
                <w:sz w:val="19"/>
              </w:rPr>
              <w:t>Pieza</w:t>
            </w:r>
          </w:p>
        </w:tc>
        <w:tc>
          <w:tcPr>
            <w:tcW w:type="dxa" w:w="3628"/>
            <w:shd w:val="clear" w:fill="012D70"/>
          </w:tcPr>
          <w:p>
            <w:r>
              <w:rPr>
                <w:b/>
                <w:color w:val="FFFFFF"/>
                <w:sz w:val="19"/>
              </w:rPr>
              <w:t>Qué guarda</w:t>
            </w:r>
          </w:p>
        </w:tc>
        <w:tc>
          <w:tcPr>
            <w:tcW w:type="dxa" w:w="3685"/>
            <w:shd w:val="clear" w:fill="012D70"/>
          </w:tcPr>
          <w:p>
            <w:r>
              <w:rPr>
                <w:b/>
                <w:color w:val="FFFFFF"/>
                <w:sz w:val="19"/>
              </w:rPr>
              <w:t>Regla</w:t>
            </w:r>
          </w:p>
        </w:tc>
      </w:tr>
      <w:tr>
        <w:tc>
          <w:tcPr>
            <w:tcW w:type="dxa" w:w="2041"/>
          </w:tcPr>
          <w:p>
            <w:r>
              <w:rPr>
                <w:sz w:val="19"/>
              </w:rPr>
              <w:t>Datos personales</w:t>
            </w:r>
          </w:p>
        </w:tc>
        <w:tc>
          <w:tcPr>
            <w:tcW w:type="dxa" w:w="3628"/>
          </w:tcPr>
          <w:p>
            <w:r>
              <w:rPr>
                <w:sz w:val="19"/>
              </w:rPr>
              <w:t>Identidad, contacto, dirección, comuna</w:t>
            </w:r>
          </w:p>
        </w:tc>
        <w:tc>
          <w:tcPr>
            <w:tcW w:type="dxa" w:w="3685"/>
          </w:tcPr>
          <w:p>
            <w:r>
              <w:rPr>
                <w:sz w:val="19"/>
              </w:rPr>
              <w:t>Un RUT = un cliente; el resto del sistema referencia, nunca copia</w:t>
            </w:r>
          </w:p>
        </w:tc>
      </w:tr>
      <w:tr>
        <w:tc>
          <w:tcPr>
            <w:tcW w:type="dxa" w:w="2041"/>
          </w:tcPr>
          <w:p>
            <w:r>
              <w:rPr>
                <w:sz w:val="19"/>
              </w:rPr>
              <w:t>Antecedentes laborales</w:t>
            </w:r>
          </w:p>
        </w:tc>
        <w:tc>
          <w:tcPr>
            <w:tcW w:type="dxa" w:w="3628"/>
          </w:tcPr>
          <w:p>
            <w:r>
              <w:rPr>
                <w:sz w:val="19"/>
              </w:rPr>
              <w:t>Situación laboral, renta fija líquida, antigüedad</w:t>
            </w:r>
          </w:p>
        </w:tc>
        <w:tc>
          <w:tcPr>
            <w:tcW w:type="dxa" w:w="3685"/>
          </w:tcPr>
          <w:p>
            <w:r>
              <w:rPr>
                <w:sz w:val="19"/>
              </w:rPr>
              <w:t>Se renuevan si tienen más de 30 días al evaluar</w:t>
            </w:r>
          </w:p>
        </w:tc>
      </w:tr>
      <w:tr>
        <w:tc>
          <w:tcPr>
            <w:tcW w:type="dxa" w:w="2041"/>
          </w:tcPr>
          <w:p>
            <w:r>
              <w:rPr>
                <w:sz w:val="19"/>
              </w:rPr>
              <w:t>Información comercial</w:t>
            </w:r>
          </w:p>
        </w:tc>
        <w:tc>
          <w:tcPr>
            <w:tcW w:type="dxa" w:w="3628"/>
          </w:tcPr>
          <w:p>
            <w:r>
              <w:rPr>
                <w:sz w:val="19"/>
              </w:rPr>
              <w:t>Perfil de deudas: morosidades, protestos, castigos</w:t>
            </w:r>
          </w:p>
        </w:tc>
        <w:tc>
          <w:tcPr>
            <w:tcW w:type="dxa" w:w="3685"/>
          </w:tcPr>
          <w:p>
            <w:r>
              <w:rPr>
                <w:sz w:val="19"/>
              </w:rPr>
              <w:t>Alimentada por los informes; es la foto de riesgo del RUT</w:t>
            </w:r>
          </w:p>
        </w:tc>
      </w:tr>
    </w:tbl>
    <w:p>
      <w:pPr>
        <w:spacing w:after="40"/>
      </w:pPr>
    </w:p>
    <w:p>
      <w:r>
        <w:rPr>
          <w:b w:val="0"/>
          <w:i w:val="0"/>
        </w:rPr>
        <w:t>A eso se suman los documentos que el cliente aporta (liquidaciones de sueldo, carpeta tributaria) — leídos por el subsistema de IA cuando está activo, con las reglas previsionales paramétricas para calcular la renta líquida real.</w:t>
      </w:r>
    </w:p>
    <w:p>
      <w:r>
        <w:br w:type="page"/>
      </w:r>
    </w:p>
    <w:p>
      <w:pPr>
        <w:pStyle w:val="Heading1"/>
      </w:pPr>
      <w:r>
        <w:t>3. Los informes comerciales (DealerNet)</w:t>
      </w:r>
    </w:p>
    <w:p>
      <w:r>
        <w:rPr>
          <w:b w:val="0"/>
          <w:i w:val="0"/>
        </w:rPr>
        <w:t>El informe comercial del RUT se pide en línea y alimenta la información comercial. Sus reglas de uso están pensadas para no gastar de más y no concluir de menos:</w:t>
      </w:r>
    </w:p>
    <w:p>
      <w:pPr>
        <w:pStyle w:val="ListBullet"/>
      </w:pPr>
      <w:r>
        <w:rPr>
          <w:b/>
        </w:rPr>
        <w:t xml:space="preserve">Caché de 15 días: </w:t>
      </w:r>
      <w:r>
        <w:t>un RUT consultado hace menos de 15 días sirve el informe vigente sin pagar otra consulta.</w:t>
      </w:r>
    </w:p>
    <w:p>
      <w:pPr>
        <w:pStyle w:val="ListBullet"/>
      </w:pPr>
      <w:r>
        <w:rPr>
          <w:b/>
        </w:rPr>
        <w:t xml:space="preserve">La deuda viene en miles: </w:t>
      </w:r>
      <w:r>
        <w:t>la deuda del producto crediticio viene en MILES de pesos; el motor la convierte. Comparar a mano contra el documento original exige recordar el factor.</w:t>
      </w: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Un informe con sello rojo "SIN INFORMACIÓN — Intente más tarde" llegó VACÍO: no significa que el cliente no tenga deuda y NO sirve para concluir. No ocupa el bloqueo de 15 días — se puede repedir de inmediato. Confundir "sin información" con "sin deuda" es el error más caro de esta pantalla.</w:t>
            </w:r>
          </w:p>
        </w:tc>
      </w:tr>
    </w:tbl>
    <w:p>
      <w:pPr>
        <w:spacing w:after="40"/>
      </w:pPr>
    </w:p>
    <w:p>
      <w:r>
        <w:br w:type="page"/>
      </w:r>
    </w:p>
    <w:p>
      <w:pPr>
        <w:pStyle w:val="Heading1"/>
      </w:pPr>
      <w:r>
        <w:t>4. La Evaluación Crediticia</w:t>
      </w:r>
    </w:p>
    <w:p>
      <w:r>
        <w:rPr>
          <w:b w:val="0"/>
          <w:i w:val="0"/>
        </w:rPr>
        <w:t>Donde todo converge: la ficha, los informes, la política y el análisis. El resultado es la información completa para que el analista decida — o para que el sistema pre-decida en los canales de autoservicio.</w:t>
      </w:r>
    </w:p>
    <w:tbl>
      <w:tblPr>
        <w:tblStyle w:val="TableGrid"/>
        <w:tblW w:type="auto" w:w="0"/>
        <w:jc w:val="center"/>
        <w:tblLook w:firstColumn="1" w:firstRow="1" w:lastColumn="0" w:lastRow="0" w:noHBand="0" w:noVBand="1" w:val="04A0"/>
      </w:tblPr>
      <w:tblGrid>
        <w:gridCol w:w="4703"/>
        <w:gridCol w:w="4703"/>
      </w:tblGrid>
      <w:tr>
        <w:tc>
          <w:tcPr>
            <w:tcW w:type="dxa" w:w="1928"/>
            <w:shd w:val="clear" w:fill="EFF6FF"/>
          </w:tcPr>
          <w:p>
            <w:r>
              <w:rPr>
                <w:b/>
                <w:color w:val="012D70"/>
                <w:sz w:val="20"/>
              </w:rPr>
              <w:t>Pantalla</w:t>
            </w:r>
          </w:p>
        </w:tc>
        <w:tc>
          <w:tcPr>
            <w:tcW w:type="dxa" w:w="7427"/>
          </w:tcPr>
          <w:p>
            <w:r>
              <w:rPr>
                <w:sz w:val="20"/>
              </w:rPr>
              <w:t>Evaluación Crediticia</w:t>
            </w:r>
          </w:p>
        </w:tc>
      </w:tr>
      <w:tr>
        <w:tc>
          <w:tcPr>
            <w:tcW w:type="dxa" w:w="1928"/>
            <w:shd w:val="clear" w:fill="EFF6FF"/>
          </w:tcPr>
          <w:p>
            <w:r>
              <w:rPr>
                <w:b/>
                <w:color w:val="012D70"/>
                <w:sz w:val="20"/>
              </w:rPr>
              <w:t>Quién</w:t>
            </w:r>
          </w:p>
        </w:tc>
        <w:tc>
          <w:tcPr>
            <w:tcW w:type="dxa" w:w="7427"/>
          </w:tcPr>
          <w:p>
            <w:r>
              <w:rPr>
                <w:sz w:val="20"/>
              </w:rPr>
              <w:t>Ejecutivo comercial arma la evaluación · Analista de Crédito decide</w:t>
            </w:r>
          </w:p>
        </w:tc>
      </w:tr>
      <w:tr>
        <w:tc>
          <w:tcPr>
            <w:tcW w:type="dxa" w:w="1928"/>
            <w:shd w:val="clear" w:fill="EFF6FF"/>
          </w:tcPr>
          <w:p>
            <w:r>
              <w:rPr>
                <w:b/>
                <w:color w:val="012D70"/>
                <w:sz w:val="20"/>
              </w:rPr>
              <w:t>Permisos</w:t>
            </w:r>
          </w:p>
        </w:tc>
        <w:tc>
          <w:tcPr>
            <w:tcW w:type="dxa" w:w="7427"/>
          </w:tcPr>
          <w:p>
            <w:r>
              <w:rPr>
                <w:sz w:val="20"/>
              </w:rPr>
              <w:t>Acceso a Evaluación Crediticia</w:t>
            </w:r>
          </w:p>
        </w:tc>
      </w:tr>
      <w:tr>
        <w:tc>
          <w:tcPr>
            <w:tcW w:type="dxa" w:w="1928"/>
            <w:shd w:val="clear" w:fill="EFF6FF"/>
          </w:tcPr>
          <w:p>
            <w:r>
              <w:rPr>
                <w:b/>
                <w:color w:val="012D70"/>
                <w:sz w:val="20"/>
              </w:rPr>
              <w:t>Prerequisitos</w:t>
            </w:r>
          </w:p>
        </w:tc>
        <w:tc>
          <w:tcPr>
            <w:tcW w:type="dxa" w:w="7427"/>
          </w:tcPr>
          <w:p>
            <w:r>
              <w:rPr>
                <w:sz w:val="20"/>
              </w:rPr>
              <w:t>Cliente en la base · saldo de informes disponible</w:t>
            </w:r>
          </w:p>
        </w:tc>
      </w:tr>
    </w:tbl>
    <w:p>
      <w:pPr>
        <w:spacing w:after="40"/>
      </w:pPr>
    </w:p>
    <w:p>
      <w:pPr>
        <w:pStyle w:val="Heading2"/>
      </w:pPr>
      <w:r>
        <w:t>4.1 El flujo</w:t>
      </w:r>
    </w:p>
    <w:p>
      <w:pPr>
        <w:spacing w:before="160" w:after="40"/>
      </w:pPr>
      <w:r>
        <w:rPr>
          <w:b/>
          <w:color w:val="012D70"/>
        </w:rPr>
        <w:t>Paso 1 — Buscar por RUT</w:t>
      </w:r>
    </w:p>
    <w:p>
      <w:pPr>
        <w:ind w:left="340"/>
      </w:pPr>
      <w:r>
        <w:t>Trae la ficha completa; los antecedentes con más de 30 días se renuevan.</w:t>
      </w:r>
    </w:p>
    <w:p>
      <w:pPr>
        <w:spacing w:before="160" w:after="40"/>
      </w:pPr>
      <w:r>
        <w:rPr>
          <w:b/>
          <w:color w:val="012D70"/>
        </w:rPr>
        <w:t>Paso 2 — Pedir informes</w:t>
      </w:r>
    </w:p>
    <w:p>
      <w:pPr>
        <w:ind w:left="340"/>
      </w:pPr>
      <w:r>
        <w:t>El informe comercial entra a la ficha (con las reglas del capítulo 3).</w:t>
      </w:r>
    </w:p>
    <w:p>
      <w:pPr>
        <w:spacing w:before="160" w:after="40"/>
      </w:pPr>
      <w:r>
        <w:rPr>
          <w:b/>
          <w:color w:val="012D70"/>
        </w:rPr>
        <w:t>Paso 3 — Leer el análisis</w:t>
      </w:r>
    </w:p>
    <w:p>
      <w:pPr>
        <w:ind w:left="340"/>
      </w:pPr>
      <w:r>
        <w:t>La IA cruza renta, deudas y política, y redacta el análisis. Las cifras son de los motores; la IA ordena y redacta.</w:t>
      </w:r>
    </w:p>
    <w:p>
      <w:pPr>
        <w:spacing w:before="160" w:after="40"/>
      </w:pPr>
      <w:r>
        <w:rPr>
          <w:b/>
          <w:color w:val="012D70"/>
        </w:rPr>
        <w:t>Paso 4 — Decidir</w:t>
      </w:r>
    </w:p>
    <w:p>
      <w:pPr>
        <w:ind w:left="340"/>
      </w:pPr>
      <w:r>
        <w:t>El analista aprueba, rechaza o pide más antecedentes. Al entrar un caso a análisis, la campanita avisa al pool de analistas — nadie queda esperando en silencio.</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2 · Evaluación Crediticia</w:t>
            </w:r>
          </w:p>
          <w:p>
            <w:pPr>
              <w:jc w:val="center"/>
            </w:pPr>
            <w:r>
              <w:rPr>
                <w:i/>
                <w:color w:val="9AA0A6"/>
                <w:sz w:val="18"/>
              </w:rPr>
              <w:t>Una evaluación completa con ficha, informes y el análisis de IA.</w:t>
            </w:r>
          </w:p>
        </w:tc>
      </w:tr>
    </w:tbl>
    <w:p>
      <w:pPr>
        <w:spacing w:after="40"/>
      </w:pPr>
    </w:p>
    <w:p>
      <w:pPr>
        <w:pStyle w:val="Heading2"/>
      </w:pPr>
      <w:r>
        <w:t>4.2 La política de crédito y el scorecard</w:t>
      </w:r>
    </w:p>
    <w:p>
      <w:r>
        <w:rPr>
          <w:b w:val="0"/>
          <w:i w:val="0"/>
        </w:rPr>
        <w:t>La política vigente (V3.0) combina las reglas duras (relación cuota/renta, antigüedad del vehículo, informes limpios) con un scorecard experto construido sobre la mora histórica por segmento: los quintiles de riesgo salen de cómo se comportó de verdad la cartera, no de una intuición. El Score de Mora del sistema es el que alimenta esa calibración — la cobranza de ayer es la política de admisión de hoy.</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La regla del 30%: la cuota no puede superar el 30% de la renta líquida. En los canales de autoservicio (pre-aprobación del dealer) manda la renta DECLARADA por quien pide, con la interna de respaldo — y si difieren mucho, el detalle viaja al Jefe Comercial, no al solicitante.</w:t>
            </w:r>
          </w:p>
        </w:tc>
      </w:tr>
    </w:tbl>
    <w:p>
      <w:pPr>
        <w:spacing w:after="40"/>
      </w:pPr>
    </w:p>
    <w:p>
      <w:r>
        <w:br w:type="page"/>
      </w:r>
    </w:p>
    <w:p>
      <w:pPr>
        <w:pStyle w:val="Heading1"/>
      </w:pPr>
      <w:r>
        <w:t>5. Un motor, tres niveles de profundidad</w:t>
      </w:r>
    </w:p>
    <w:p>
      <w:r>
        <w:rPr>
          <w:b w:val="0"/>
          <w:i w:val="0"/>
        </w:rPr>
        <w:t>La misma lógica de evaluación corre en tres contextos, con profundidad creciente:</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val="clear" w:fill="012D70"/>
          </w:tcPr>
          <w:p>
            <w:r>
              <w:rPr>
                <w:b/>
                <w:color w:val="FFFFFF"/>
                <w:sz w:val="19"/>
              </w:rPr>
              <w:t>Nivel</w:t>
            </w:r>
          </w:p>
        </w:tc>
        <w:tc>
          <w:tcPr>
            <w:tcW w:type="dxa" w:w="2041"/>
            <w:shd w:val="clear" w:fill="012D70"/>
          </w:tcPr>
          <w:p>
            <w:r>
              <w:rPr>
                <w:b/>
                <w:color w:val="FFFFFF"/>
                <w:sz w:val="19"/>
              </w:rPr>
              <w:t>Dónde</w:t>
            </w:r>
          </w:p>
        </w:tc>
        <w:tc>
          <w:tcPr>
            <w:tcW w:type="dxa" w:w="5386"/>
            <w:shd w:val="clear" w:fill="012D70"/>
          </w:tcPr>
          <w:p>
            <w:r>
              <w:rPr>
                <w:b/>
                <w:color w:val="FFFFFF"/>
                <w:sz w:val="19"/>
              </w:rPr>
              <w:t>Qué entrega</w:t>
            </w:r>
          </w:p>
        </w:tc>
      </w:tr>
      <w:tr>
        <w:tc>
          <w:tcPr>
            <w:tcW w:type="dxa" w:w="1928"/>
          </w:tcPr>
          <w:p>
            <w:r>
              <w:rPr>
                <w:sz w:val="19"/>
              </w:rPr>
              <w:t>Preevaluación exprés</w:t>
            </w:r>
          </w:p>
        </w:tc>
        <w:tc>
          <w:tcPr>
            <w:tcW w:type="dxa" w:w="2041"/>
          </w:tcPr>
          <w:p>
            <w:r>
              <w:rPr>
                <w:sz w:val="19"/>
              </w:rPr>
              <w:t>Facilito (WhatsApp)</w:t>
            </w:r>
          </w:p>
        </w:tc>
        <w:tc>
          <w:tcPr>
            <w:tcW w:type="dxa" w:w="5386"/>
          </w:tcPr>
          <w:p>
            <w:r>
              <w:rPr>
                <w:sz w:val="19"/>
              </w:rPr>
              <w:t>El código valida el RUT, pide informes (con caché y límites) y decide el veredicto: vía exprés con pie ≥ 40% y antecedentes buenos, o derivación a ejecutivo. Sin revelar detalles del informe al cliente</w:t>
            </w:r>
          </w:p>
        </w:tc>
      </w:tr>
      <w:tr>
        <w:tc>
          <w:tcPr>
            <w:tcW w:type="dxa" w:w="1928"/>
          </w:tcPr>
          <w:p>
            <w:r>
              <w:rPr>
                <w:sz w:val="19"/>
              </w:rPr>
              <w:t>Pre-aprobación en línea</w:t>
            </w:r>
          </w:p>
        </w:tc>
        <w:tc>
          <w:tcPr>
            <w:tcW w:type="dxa" w:w="2041"/>
          </w:tcPr>
          <w:p>
            <w:r>
              <w:rPr>
                <w:sz w:val="19"/>
              </w:rPr>
              <w:t>Portal del Dealer</w:t>
            </w:r>
          </w:p>
        </w:tc>
        <w:tc>
          <w:tcPr>
            <w:tcW w:type="dxa" w:w="5386"/>
          </w:tcPr>
          <w:p>
            <w:r>
              <w:rPr>
                <w:sz w:val="19"/>
              </w:rPr>
              <w:t>Antigüedad del vehículo, regla del 30%, informes limpios y elegibilidad de financiera → PREAPROBADO con cuotas, o "necesito más información". El dealer nunca ve datos del cliente</w:t>
            </w:r>
          </w:p>
        </w:tc>
      </w:tr>
      <w:tr>
        <w:tc>
          <w:tcPr>
            <w:tcW w:type="dxa" w:w="1928"/>
          </w:tcPr>
          <w:p>
            <w:r>
              <w:rPr>
                <w:sz w:val="19"/>
              </w:rPr>
              <w:t>Evaluación completa</w:t>
            </w:r>
          </w:p>
        </w:tc>
        <w:tc>
          <w:tcPr>
            <w:tcW w:type="dxa" w:w="2041"/>
          </w:tcPr>
          <w:p>
            <w:r>
              <w:rPr>
                <w:sz w:val="19"/>
              </w:rPr>
              <w:t>Evaluación Crediticia</w:t>
            </w:r>
          </w:p>
        </w:tc>
        <w:tc>
          <w:tcPr>
            <w:tcW w:type="dxa" w:w="5386"/>
          </w:tcPr>
          <w:p>
            <w:r>
              <w:rPr>
                <w:sz w:val="19"/>
              </w:rPr>
              <w:t>Todo lo anterior más el análisis de IA, el scorecard y el criterio del analista — la única que aprueba de verdad</w:t>
            </w:r>
          </w:p>
        </w:tc>
      </w:tr>
    </w:tbl>
    <w:p>
      <w:pPr>
        <w:spacing w:after="40"/>
      </w:pPr>
    </w:p>
    <w:p>
      <w:r>
        <w:rPr>
          <w:b w:val="0"/>
          <w:i w:val="0"/>
        </w:rPr>
        <w:t>Los dos primeros niveles filtran y aceleran; el tercero decide. Ninguno contradice a otro porque comparten los motores y la política.</w:t>
      </w:r>
    </w:p>
    <w:p>
      <w:r>
        <w:br w:type="page"/>
      </w:r>
    </w:p>
    <w:p>
      <w:pPr>
        <w:pStyle w:val="Heading1"/>
      </w:pPr>
      <w:r>
        <w:t>6. Gobierno</w:t>
      </w:r>
    </w:p>
    <w:p>
      <w:pPr>
        <w:pStyle w:val="ListBullet"/>
      </w:pPr>
      <w:r>
        <w:rPr>
          <w:b/>
        </w:rPr>
        <w:t xml:space="preserve">Todo paramétrico: </w:t>
      </w:r>
      <w:r>
        <w:t>tasas, gastos, factores de seguros, umbrales de preferencia y reglas de política viven en mantenedores, con su footer de trazabilidad.</w:t>
      </w:r>
    </w:p>
    <w:p>
      <w:pPr>
        <w:pStyle w:val="ListBullet"/>
      </w:pPr>
      <w:r>
        <w:rPr>
          <w:b/>
        </w:rPr>
        <w:t xml:space="preserve">El gasto se cuida: </w:t>
      </w:r>
      <w:r>
        <w:t>los informes cuestan plata: caché de 15 días, límites por conversación y por día en el bot, y el mantenedor de costo que recomienda plan según consumo.</w:t>
      </w:r>
    </w:p>
    <w:p>
      <w:pPr>
        <w:pStyle w:val="ListBullet"/>
      </w:pPr>
      <w:r>
        <w:rPr>
          <w:b/>
        </w:rPr>
        <w:t xml:space="preserve">Fuente única: </w:t>
      </w:r>
      <w:r>
        <w:t>las evaluaciones, sus informes y sus análisis quedan en el repositorio único de informes — el mismo que consultan la carta y el revisor.</w:t>
      </w:r>
    </w:p>
    <w:p>
      <w:pPr>
        <w:pStyle w:val="ListBullet"/>
      </w:pPr>
      <w:r>
        <w:rPr>
          <w:b/>
        </w:rPr>
        <w:t xml:space="preserve">Datos protegidos: </w:t>
      </w:r>
      <w:r>
        <w:t>quien ve la evaluación completa es porque su perfil lo permite; los canales de autoservicio entregan veredictos, nunca detalles.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12D7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41A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12D7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