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1015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15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jc w:val="center"/>
      </w:pPr>
      <w:r>
        <w:rPr>
          <w:b/>
          <w:i w:val="0"/>
          <w:color w:val="012D70"/>
          <w:sz w:val="52"/>
        </w:rPr>
        <w:t>CONTABILIDAD Y CIERRE DE MES</w:t>
      </w:r>
    </w:p>
    <w:p>
      <w:pPr>
        <w:jc w:val="center"/>
      </w:pPr>
      <w:r>
        <w:rPr>
          <w:b w:val="0"/>
          <w:i w:val="0"/>
          <w:color w:val="0141A2"/>
          <w:sz w:val="32"/>
        </w:rPr>
        <w:t>AutoFácil Business Suite</w:t>
      </w:r>
    </w:p>
    <w:p>
      <w:pPr>
        <w:spacing w:after="520"/>
      </w:pPr>
    </w:p>
    <w:p>
      <w:pPr>
        <w:jc w:val="center"/>
      </w:pPr>
      <w:r>
        <w:rPr>
          <w:b w:val="0"/>
          <w:i w:val="0"/>
          <w:color w:val="475569"/>
          <w:sz w:val="24"/>
        </w:rPr>
        <w:t>La contabilidad que se construye sola desde la operación,</w:t>
      </w:r>
    </w:p>
    <w:p>
      <w:pPr>
        <w:jc w:val="center"/>
      </w:pPr>
      <w:r>
        <w:rPr>
          <w:b w:val="0"/>
          <w:i w:val="0"/>
          <w:color w:val="475569"/>
          <w:sz w:val="24"/>
        </w:rPr>
        <w:t>y el candado mensual que la hace confiable.</w:t>
      </w:r>
    </w:p>
    <w:p/>
    <w:p/>
    <w:p/>
    <w:p/>
    <w:p/>
    <w:p/>
    <w:p>
      <w:pPr>
        <w:jc w:val="center"/>
      </w:pPr>
      <w:r>
        <w:rPr>
          <w:b w:val="0"/>
          <w:i w:val="0"/>
          <w:color w:val="9AA0A6"/>
          <w:sz w:val="22"/>
        </w:rPr>
        <w:t>Versión 1.0 · 17 de agosto de 2026</w:t>
      </w:r>
    </w:p>
    <w:p>
      <w:pPr>
        <w:jc w:val="center"/>
      </w:pPr>
      <w:r>
        <w:rPr>
          <w:b w:val="0"/>
          <w:i w:val="0"/>
          <w:color w:val="9AA0A6"/>
          <w:sz w:val="20"/>
        </w:rPr>
        <w:t>Documento interno — AutoFácil Crédito Automotriz</w:t>
      </w:r>
    </w:p>
    <w:p>
      <w:r>
        <w:br w:type="page"/>
      </w:r>
    </w:p>
    <w:p>
      <w:pPr>
        <w:pStyle w:val="Heading1"/>
      </w:pPr>
      <w:r>
        <w:t>1. La misión: reemplazar el sistema contable externo</w:t>
      </w:r>
    </w:p>
    <w:p>
      <w:r>
        <w:rPr>
          <w:b w:val="0"/>
          <w:i w:val="0"/>
        </w:rPr>
        <w:t>El módulo de Contabilidad existe para una sola cosa: que AutoFácil deje de pagar y digitar un sistema contable aparte (AVSOFT). Eso solo es posible si la contabilidad se construye SOLA desde la operación: cada cartola pagada, cada cuota cobrada, cada liquidación emitida genera su asiento sin que nadie lo digite. Un movimiento que obliga a digitar aparte es una regresión al sistema anterior.</w:t>
      </w:r>
    </w:p>
    <w:p>
      <w:r>
        <w:rPr>
          <w:b w:val="0"/>
          <w:i w:val="0"/>
        </w:rPr>
        <w:t>El estado actual: plan de cuentas propio, comprobantes, libros diario y mayor, balance, auxiliares de compras y honorarios, los libros históricos de AVSOFT importados (más de 6.000 comprobantes con su cierre de ejercicio), el Registro de Compras del SII entrando solo, y el motor de centralización contabilizando los hechos del negocio. Lo que falta para el reemplazo total es la emisión electrónica de documentos (decisión en Finanzas).</w:t>
      </w:r>
    </w:p>
    <w:p>
      <w:r>
        <w:br w:type="page"/>
      </w:r>
    </w:p>
    <w:p>
      <w:pPr>
        <w:pStyle w:val="Heading1"/>
      </w:pPr>
      <w:r>
        <w:t>2. Los cinco principios contables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494"/>
            <w:shd w:val="clear" w:fill="012D70"/>
          </w:tcPr>
          <w:p>
            <w:r>
              <w:rPr>
                <w:b/>
                <w:color w:val="FFFFFF"/>
                <w:sz w:val="19"/>
              </w:rPr>
              <w:t>Principio</w:t>
            </w:r>
          </w:p>
        </w:tc>
        <w:tc>
          <w:tcPr>
            <w:tcW w:type="dxa" w:w="6860"/>
            <w:shd w:val="clear" w:fill="012D70"/>
          </w:tcPr>
          <w:p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Un solo motor de asientos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Todo asiento automático nace del motor de centralización, según la regla paramétrica de su hecho. Ningún módulo escribe asientos "por su cuenta"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Devengo ≠ pago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El gasto o ingreso se reconoce cuando nace la obligación (documento recibido, liquidación emitida); el pago solo rebaja el pasivo contra banco. Son dos asientos, dos momentos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Los impuestos van en el asiento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IVA crédito y débito fiscal, y las retenciones, a su cuenta de activo o pasivo — para que el F29 salga del sistema y no a mano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Las cuentas no llevan año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La separación por ejercicio la da el período contable, no cuentas como "FACTURAS POR PAGAR 2025"</w:t>
            </w:r>
          </w:p>
        </w:tc>
      </w:tr>
      <w:tr>
        <w:tc>
          <w:tcPr>
            <w:tcW w:type="dxa" w:w="2494"/>
          </w:tcPr>
          <w:p>
            <w:r>
              <w:rPr>
                <w:sz w:val="19"/>
              </w:rPr>
              <w:t>La contabilidad nunca bloquea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El motor no detiene la operación: registra el resultado de cada hecho en su log (CONTABILIZADO / SIN_REGLA / DESCUADRE / ERROR). Ese log es la lista de trabajo del contador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El corolario para todo el equipo: un feature nuevo que mueve plata está INCOMPLETO hasta que tiene su regla contable. La pregunta "¿qué asiento genera esto y con qué cuentas?" es parte de cerrar cualquier funcionalidad.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Las piezas de la contabilidad</w:t>
      </w:r>
    </w:p>
    <w:p>
      <w:pPr>
        <w:pStyle w:val="ListBullet"/>
      </w:pPr>
      <w:r>
        <w:rPr>
          <w:b/>
        </w:rPr>
        <w:t xml:space="preserve">Plan de cuentas: </w:t>
      </w:r>
      <w:r>
        <w:t>el catálogo propio, administrable, con cuentas imputables y de agrupación. Toda regla de centralización apunta acá.</w:t>
      </w:r>
    </w:p>
    <w:p>
      <w:pPr>
        <w:pStyle w:val="ListBullet"/>
      </w:pPr>
      <w:r>
        <w:rPr>
          <w:b/>
        </w:rPr>
        <w:t xml:space="preserve">Comprobantes: </w:t>
      </w:r>
      <w:r>
        <w:t>cada asiento con su correlativo, cuadratura obligatoria (un comprobante descuadrado no entra) y su origen: manual, o automático con la referencia del hecho que lo generó.</w:t>
      </w:r>
    </w:p>
    <w:p>
      <w:pPr>
        <w:pStyle w:val="ListBullet"/>
      </w:pPr>
      <w:r>
        <w:rPr>
          <w:b/>
        </w:rPr>
        <w:t xml:space="preserve">Libros y balance: </w:t>
      </w:r>
      <w:r>
        <w:t>diario, mayor por cuenta y balance, con los períodos contables como columna vertebral.</w:t>
      </w:r>
    </w:p>
    <w:p>
      <w:pPr>
        <w:pStyle w:val="ListBullet"/>
      </w:pPr>
      <w:r>
        <w:rPr>
          <w:b/>
        </w:rPr>
        <w:t xml:space="preserve">Auxiliares: </w:t>
      </w:r>
      <w:r>
        <w:t>compras y honorarios — alimentados por el RCV del SII y por las boletas que entran solas al pagar comisiones. La comparación contra el SII es el control.</w:t>
      </w:r>
    </w:p>
    <w:p>
      <w:pPr>
        <w:pStyle w:val="ListBullet"/>
      </w:pPr>
      <w:r>
        <w:rPr>
          <w:b/>
        </w:rPr>
        <w:t xml:space="preserve">La historia: </w:t>
      </w:r>
      <w:r>
        <w:t>los libros de AVSOFT importados dan la continuidad histórica: el balance no parte de cero.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1 · Contabilidad → Comprobantes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Un comprobante automático con su referencia al hecho de origen.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La centralización: del hecho al asiento</w:t>
      </w:r>
    </w:p>
    <w:p>
      <w:r>
        <w:rPr>
          <w:b w:val="0"/>
          <w:i w:val="0"/>
        </w:rPr>
        <w:t>El corazón del módulo. Cada hecho económico del sistema dispara un evento; el motor busca su regla en el mantenedor Reglas de Centralización y arma el asiento. Ejemplos reales del circuito: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742"/>
            <w:shd w:val="clear" w:fill="012D70"/>
          </w:tcPr>
          <w:p>
            <w:r>
              <w:rPr>
                <w:b/>
                <w:color w:val="FFFFFF"/>
                <w:sz w:val="19"/>
              </w:rPr>
              <w:t>Hecho del negocio</w:t>
            </w:r>
          </w:p>
        </w:tc>
        <w:tc>
          <w:tcPr>
            <w:tcW w:type="dxa" w:w="5613"/>
            <w:shd w:val="clear" w:fill="012D70"/>
          </w:tcPr>
          <w:p>
            <w:r>
              <w:rPr>
                <w:b/>
                <w:color w:val="FFFFFF"/>
                <w:sz w:val="19"/>
              </w:rPr>
              <w:t>Asiento (resumen)</w:t>
            </w:r>
          </w:p>
        </w:tc>
      </w:tr>
      <w:tr>
        <w:tc>
          <w:tcPr>
            <w:tcW w:type="dxa" w:w="3742"/>
          </w:tcPr>
          <w:p>
            <w:r>
              <w:rPr>
                <w:sz w:val="19"/>
              </w:rPr>
              <w:t>Se registra la factura del dealer</w:t>
            </w:r>
          </w:p>
        </w:tc>
        <w:tc>
          <w:tcPr>
            <w:tcW w:type="dxa" w:w="5613"/>
          </w:tcPr>
          <w:p>
            <w:r>
              <w:rPr>
                <w:sz w:val="19"/>
              </w:rPr>
              <w:t>DEBE gasto comisión (neto) + DEBE IVA crédito → HABER proveedores</w:t>
            </w:r>
          </w:p>
        </w:tc>
      </w:tr>
      <w:tr>
        <w:tc>
          <w:tcPr>
            <w:tcW w:type="dxa" w:w="3742"/>
          </w:tcPr>
          <w:p>
            <w:r>
              <w:rPr>
                <w:sz w:val="19"/>
              </w:rPr>
              <w:t>Se paga la comisión (ODP)</w:t>
            </w:r>
          </w:p>
        </w:tc>
        <w:tc>
          <w:tcPr>
            <w:tcW w:type="dxa" w:w="5613"/>
          </w:tcPr>
          <w:p>
            <w:r>
              <w:rPr>
                <w:sz w:val="19"/>
              </w:rPr>
              <w:t>DEBE proveedores → HABER banco</w:t>
            </w:r>
          </w:p>
        </w:tc>
      </w:tr>
      <w:tr>
        <w:tc>
          <w:tcPr>
            <w:tcW w:type="dxa" w:w="3742"/>
          </w:tcPr>
          <w:p>
            <w:r>
              <w:rPr>
                <w:sz w:val="19"/>
              </w:rPr>
              <w:t>Boleta de honorarios del dealer</w:t>
            </w:r>
          </w:p>
        </w:tc>
        <w:tc>
          <w:tcPr>
            <w:tcW w:type="dxa" w:w="5613"/>
          </w:tcPr>
          <w:p>
            <w:r>
              <w:rPr>
                <w:sz w:val="19"/>
              </w:rPr>
              <w:t>DEBE gasto → HABER retención SII + HABER por pagar; la retención va al F29</w:t>
            </w:r>
          </w:p>
        </w:tc>
      </w:tr>
      <w:tr>
        <w:tc>
          <w:tcPr>
            <w:tcW w:type="dxa" w:w="3742"/>
          </w:tcPr>
          <w:p>
            <w:r>
              <w:rPr>
                <w:sz w:val="19"/>
              </w:rPr>
              <w:t>Se aprueba el mes de un parque</w:t>
            </w:r>
          </w:p>
        </w:tc>
        <w:tc>
          <w:tcPr>
            <w:tcW w:type="dxa" w:w="5613"/>
          </w:tcPr>
          <w:p>
            <w:r>
              <w:rPr>
                <w:sz w:val="19"/>
              </w:rPr>
              <w:t>DEBE arriendos + DEBE comisiones por ventas → HABER pasivo del parque</w:t>
            </w:r>
          </w:p>
        </w:tc>
      </w:tr>
      <w:tr>
        <w:tc>
          <w:tcPr>
            <w:tcW w:type="dxa" w:w="3742"/>
          </w:tcPr>
          <w:p>
            <w:r>
              <w:rPr>
                <w:sz w:val="19"/>
              </w:rPr>
              <w:t>Fondos recibidos de la financiera</w:t>
            </w:r>
          </w:p>
        </w:tc>
        <w:tc>
          <w:tcPr>
            <w:tcW w:type="dxa" w:w="5613"/>
          </w:tcPr>
          <w:p>
            <w:r>
              <w:rPr>
                <w:sz w:val="19"/>
              </w:rPr>
              <w:t>DEBE banco → HABER pasivo transitorio (cuenta de paso)</w:t>
            </w:r>
          </w:p>
        </w:tc>
      </w:tr>
      <w:tr>
        <w:tc>
          <w:tcPr>
            <w:tcW w:type="dxa" w:w="3742"/>
          </w:tcPr>
          <w:p>
            <w:r>
              <w:rPr>
                <w:sz w:val="19"/>
              </w:rPr>
              <w:t>Saldo precio pagado al dealer</w:t>
            </w:r>
          </w:p>
        </w:tc>
        <w:tc>
          <w:tcPr>
            <w:tcW w:type="dxa" w:w="5613"/>
          </w:tcPr>
          <w:p>
            <w:r>
              <w:rPr>
                <w:sz w:val="19"/>
              </w:rPr>
              <w:t>DEBE pasivo transitorio → HABER banco</w:t>
            </w:r>
          </w:p>
        </w:tc>
      </w:tr>
      <w:tr>
        <w:tc>
          <w:tcPr>
            <w:tcW w:type="dxa" w:w="3742"/>
          </w:tcPr>
          <w:p>
            <w:r>
              <w:rPr>
                <w:sz w:val="19"/>
              </w:rPr>
              <w:t>Se emite el libro de remuneraciones</w:t>
            </w:r>
          </w:p>
        </w:tc>
        <w:tc>
          <w:tcPr>
            <w:tcW w:type="dxa" w:w="5613"/>
          </w:tcPr>
          <w:p>
            <w:r>
              <w:rPr>
                <w:sz w:val="19"/>
              </w:rPr>
              <w:t>Sueldos, cotizaciones y retenciones, cada una a su cuenta</w:t>
            </w:r>
          </w:p>
        </w:tc>
      </w:tr>
      <w:tr>
        <w:tc>
          <w:tcPr>
            <w:tcW w:type="dxa" w:w="3742"/>
          </w:tcPr>
          <w:p>
            <w:r>
              <w:rPr>
                <w:sz w:val="19"/>
              </w:rPr>
              <w:t>Finiquito emitido / pagado</w:t>
            </w:r>
          </w:p>
        </w:tc>
        <w:tc>
          <w:tcPr>
            <w:tcW w:type="dxa" w:w="5613"/>
          </w:tcPr>
          <w:p>
            <w:r>
              <w:rPr>
                <w:sz w:val="19"/>
              </w:rPr>
              <w:t>Devengo a finiquitos por pagar; el pago rebaja contra banco</w:t>
            </w:r>
          </w:p>
        </w:tc>
      </w:tr>
      <w:tr>
        <w:tc>
          <w:tcPr>
            <w:tcW w:type="dxa" w:w="3742"/>
          </w:tcPr>
          <w:p>
            <w:r>
              <w:rPr>
                <w:sz w:val="19"/>
              </w:rPr>
              <w:t>Anticipo o préstamo al personal</w:t>
            </w:r>
          </w:p>
        </w:tc>
        <w:tc>
          <w:tcPr>
            <w:tcW w:type="dxa" w:w="5613"/>
          </w:tcPr>
          <w:p>
            <w:r>
              <w:rPr>
                <w:sz w:val="19"/>
              </w:rPr>
              <w:t>Cuenta por cobrar al personal (activo), NO gasto</w:t>
            </w:r>
          </w:p>
        </w:tc>
      </w:tr>
      <w:tr>
        <w:tc>
          <w:tcPr>
            <w:tcW w:type="dxa" w:w="3742"/>
          </w:tcPr>
          <w:p>
            <w:r>
              <w:rPr>
                <w:sz w:val="19"/>
              </w:rPr>
              <w:t>Documento del RCV confirmado</w:t>
            </w:r>
          </w:p>
        </w:tc>
        <w:tc>
          <w:tcPr>
            <w:tcW w:type="dxa" w:w="5613"/>
          </w:tcPr>
          <w:p>
            <w:r>
              <w:rPr>
                <w:sz w:val="19"/>
              </w:rPr>
              <w:t>DEBE gasto + DEBE IVA crédito → HABER proveedores</w:t>
            </w:r>
          </w:p>
        </w:tc>
      </w:tr>
      <w:tr>
        <w:tc>
          <w:tcPr>
            <w:tcW w:type="dxa" w:w="3742"/>
          </w:tcPr>
          <w:p>
            <w:r>
              <w:rPr>
                <w:sz w:val="19"/>
              </w:rPr>
              <w:t>Provisión mensual de mora / vacaciones</w:t>
            </w:r>
          </w:p>
        </w:tc>
        <w:tc>
          <w:tcPr>
            <w:tcW w:type="dxa" w:w="5613"/>
          </w:tcPr>
          <w:p>
            <w:r>
              <w:rPr>
                <w:sz w:val="19"/>
              </w:rPr>
              <w:t>Constitución o liberación por la VARIACIÓN contra el mes anterior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 xml:space="preserve">Idempotencia: </w:t>
      </w:r>
      <w:r>
        <w:t>procesar dos veces el mismo hecho NO duplica el asiento: cada uno es idempotente por su referencia.</w:t>
      </w:r>
    </w:p>
    <w:p>
      <w:pPr>
        <w:pStyle w:val="ListBullet"/>
      </w:pPr>
      <w:r>
        <w:rPr>
          <w:b/>
        </w:rPr>
        <w:t xml:space="preserve">Lo no cableado se ve: </w:t>
      </w:r>
      <w:r>
        <w:t>un hecho sin regla queda SIN_REGLA en el log — visible, no perdido. Cablearlo es crear la regla en el mantenedor, sin tocar código.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2 · Contabilidad → Reglas de Centralización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mantenedor con las reglas por evento y sus cuentas.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El SII dentro del sistema</w:t>
      </w:r>
    </w:p>
    <w:p>
      <w:pPr>
        <w:pStyle w:val="ListBullet"/>
      </w:pPr>
      <w:r>
        <w:rPr>
          <w:b/>
        </w:rPr>
        <w:t xml:space="preserve">RCV — compras: </w:t>
      </w:r>
      <w:r>
        <w:t>las facturas de proveedores entran solas desde el Registro de Compras cada 2 días: folios y montos del SII (no se editan), la cuenta de gasto propuesta por el historial del proveedor, y el asiento en el mismo acto. El banner de brecha (SII vs auxiliar) es el control permanente.</w:t>
      </w:r>
    </w:p>
    <w:p>
      <w:pPr>
        <w:pStyle w:val="ListBullet"/>
      </w:pPr>
      <w:r>
        <w:rPr>
          <w:b/>
        </w:rPr>
        <w:t xml:space="preserve">F29: </w:t>
      </w:r>
      <w:r>
        <w:t>con el IVA crédito y débito en sus cuentas y las retenciones registradas, la declaración mensual se arma con datos del sistema, no a mano.</w:t>
      </w:r>
    </w:p>
    <w:p>
      <w:pPr>
        <w:pStyle w:val="ListBullet"/>
      </w:pPr>
      <w:r>
        <w:rPr>
          <w:b/>
        </w:rPr>
        <w:t xml:space="preserve">Emisión electrónica (pendiente): </w:t>
      </w:r>
      <w:r>
        <w:t>la certificación ante el SII para emitir facturas desde la plataforma es el último tramo del reemplazo — evaluada y con su informe en Finanzas.</w:t>
      </w:r>
    </w:p>
    <w:p>
      <w:r>
        <w:br w:type="page"/>
      </w:r>
    </w:p>
    <w:p>
      <w:pPr>
        <w:pStyle w:val="Heading1"/>
      </w:pPr>
      <w:r>
        <w:t>6. El Cierre de Mes: el candado que hace todo confiable</w:t>
      </w:r>
    </w:p>
    <w:p>
      <w:r>
        <w:rPr>
          <w:b w:val="0"/>
          <w:i w:val="0"/>
        </w:rPr>
        <w:t>Sin cierre, cualquier informe es provisorio para siempre. El cierre convierte el mes en un hecho: controles dados, cifras congeladas, acta firmada.</w:t>
      </w:r>
    </w:p>
    <w:p>
      <w:pPr>
        <w:spacing w:before="160" w:after="40"/>
      </w:pPr>
      <w:r>
        <w:rPr>
          <w:b/>
          <w:color w:val="012D70"/>
        </w:rPr>
        <w:t>Paso 1 — El checklist</w:t>
      </w:r>
    </w:p>
    <w:p>
      <w:pPr>
        <w:ind w:left="340"/>
      </w:pPr>
      <w:r>
        <w:t>Cada punto con su responsable y su día hábil límite: conciliación bancaria, transitorias aclaradas, cartolas enviadas, comisiones aprobadas, castigos resueltos. Varios se chequean solos; el correo diario persigue a los vencidos.</w:t>
      </w:r>
    </w:p>
    <w:p>
      <w:pPr>
        <w:spacing w:before="160" w:after="40"/>
      </w:pPr>
      <w:r>
        <w:rPr>
          <w:b/>
          <w:color w:val="012D70"/>
        </w:rPr>
        <w:t>Paso 2 — Las provisiones</w:t>
      </w:r>
    </w:p>
    <w:p>
      <w:pPr>
        <w:ind w:left="340"/>
      </w:pPr>
      <w:r>
        <w:t>Mora y vacaciones se provisionan automáticamente; si nadie las guarda a mano, el sistema cierra solo el mes anterior el día configurado.</w:t>
      </w:r>
    </w:p>
    <w:p>
      <w:pPr>
        <w:spacing w:before="160" w:after="40"/>
      </w:pPr>
      <w:r>
        <w:rPr>
          <w:b/>
          <w:color w:val="012D70"/>
        </w:rPr>
        <w:t>Paso 3 — CERRAR MES</w:t>
      </w:r>
    </w:p>
    <w:p>
      <w:pPr>
        <w:ind w:left="340"/>
      </w:pPr>
      <w:r>
        <w:t>Con los obligatorios en verde: candado contable + acta congelada (quién dio cada OK) + correo del acta a los destinatarios.</w:t>
      </w:r>
    </w:p>
    <w:p>
      <w:pPr>
        <w:spacing w:before="160" w:after="40"/>
      </w:pPr>
      <w:r>
        <w:rPr>
          <w:b/>
          <w:color w:val="012D70"/>
        </w:rPr>
        <w:t>Paso 4 — El informe a la matriz</w:t>
      </w:r>
    </w:p>
    <w:p>
      <w:pPr>
        <w:ind w:left="340"/>
      </w:pPr>
      <w:r>
        <w:t>El Informe de Cierre Mensual sale hacia Casa Matriz con sus secciones validadas contra la base, y la Bitácora de Cierres guarda cada mes con su análisis.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3 · Tesorería → Cierre de Mes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checklist con sus responsables y el botón de cierre.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Cerrado el mes, NADA retroactivo se toca: los recálculos respetan el candado, las operaciones del mes no se editan y las variables de comisiones no aceptan vigencias sobre meses cerrados. Lo que haya que corregir va por proceso formal en el mes abierto — la historia informada no se reescribe.</w:t>
            </w:r>
          </w:p>
        </w:tc>
      </w:tr>
    </w:tbl>
    <w:p>
      <w:pPr>
        <w:spacing w:after="40"/>
      </w:pPr>
    </w:p>
    <w:p>
      <w:pPr>
        <w:spacing w:before="120" w:after="120"/>
        <w:jc w:val="center"/>
      </w:pPr>
      <w:r>
        <w:rPr>
          <w:b/>
          <w:i w:val="0"/>
          <w:color w:val="0141A2"/>
          <w:sz w:val="21"/>
        </w:rPr>
        <w:t>MES ABIERTO → PUNTOS EN VERDE → CERRADO (CANDADO) → ACTA ENVIADA → INFORME A LA MATRIZ</w:t>
      </w:r>
    </w:p>
    <w:p>
      <w:r>
        <w:br w:type="page"/>
      </w:r>
    </w:p>
    <w:p>
      <w:pPr>
        <w:pStyle w:val="Heading1"/>
      </w:pPr>
      <w:r>
        <w:t>7. Lo que falta (y está anotado)</w:t>
      </w:r>
    </w:p>
    <w:p>
      <w:pPr>
        <w:pStyle w:val="ListBullet"/>
      </w:pPr>
      <w:r>
        <w:rPr>
          <w:b/>
        </w:rPr>
        <w:t xml:space="preserve">Comisiones internas y colocación: </w:t>
      </w:r>
      <w:r>
        <w:t>las reglas contables de las comisiones internas y la colocación están definidas; falta conectar su disparador automático.</w:t>
      </w:r>
    </w:p>
    <w:p>
      <w:pPr>
        <w:pStyle w:val="ListBullet"/>
      </w:pPr>
      <w:r>
        <w:rPr>
          <w:b/>
        </w:rPr>
        <w:t xml:space="preserve">Mes contable vs fecha de curse: </w:t>
      </w:r>
      <w:r>
        <w:t>la convención para operaciones cursadas a caballo entre dos meses (curse el día 1 vs mes contable anterior) está pendiente de decisión — toca meses cerrados, así que se decide con Finanzas, no de facto.</w:t>
      </w:r>
    </w:p>
    <w:p>
      <w:pPr>
        <w:pStyle w:val="ListBullet"/>
      </w:pPr>
      <w:r>
        <w:rPr>
          <w:b/>
        </w:rPr>
        <w:t xml:space="preserve">Emisión electrónica: </w:t>
      </w:r>
      <w:r>
        <w:t>certificarse ante el SII y emitir desde la plataforma — con costo conocido y decisión en Finanzas.</w:t>
      </w:r>
    </w:p>
    <w:p>
      <w:r>
        <w:rPr>
          <w:b w:val="0"/>
          <w:i w:val="0"/>
        </w:rPr>
        <w:t>Todo lo abierto vive en Pendientes Abiertos de la Suite de Documentación — la lista única, actualizada en el momento en que algo se detecta.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12D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141A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12D7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