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12F3" w:rsidRPr="00AB12F3" w:rsidRDefault="00AB12F3" w:rsidP="00F73FB6">
      <w:pPr>
        <w:widowControl/>
        <w:spacing w:before="100" w:beforeAutospacing="1" w:after="100" w:afterAutospacing="1"/>
        <w:jc w:val="left"/>
        <w:rPr>
          <w:rFonts w:ascii="Helvetica" w:eastAsia="ＭＳ Ｐゴシック" w:hAnsi="Helvetica" w:cs="ＭＳ Ｐゴシック"/>
          <w:b/>
          <w:bCs/>
          <w:kern w:val="0"/>
          <w:sz w:val="28"/>
          <w:szCs w:val="28"/>
        </w:rPr>
      </w:pPr>
      <w:r w:rsidRPr="00AB12F3">
        <w:rPr>
          <w:rFonts w:ascii="Helvetica" w:eastAsia="ＭＳ Ｐゴシック" w:hAnsi="Helvetica" w:cs="ＭＳ Ｐゴシック"/>
          <w:b/>
          <w:bCs/>
          <w:kern w:val="0"/>
          <w:sz w:val="28"/>
          <w:szCs w:val="28"/>
        </w:rPr>
        <w:t>PKM</w:t>
      </w:r>
    </w:p>
    <w:p w:rsidR="00AB12F3" w:rsidRPr="00AB12F3" w:rsidRDefault="00AB12F3" w:rsidP="00F73FB6">
      <w:pPr>
        <w:widowControl/>
        <w:spacing w:before="100" w:beforeAutospacing="1" w:after="100" w:afterAutospacing="1"/>
        <w:jc w:val="left"/>
        <w:rPr>
          <w:rFonts w:ascii="Helvetica" w:eastAsia="ＭＳ Ｐゴシック" w:hAnsi="Helvetica" w:cs="ＭＳ Ｐゴシック"/>
          <w:b/>
          <w:bCs/>
          <w:kern w:val="0"/>
          <w:sz w:val="24"/>
        </w:rPr>
      </w:pP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Process: Hypoxia-driven metabolic and structural reprogramming (0.87)</w:t>
      </w:r>
    </w:p>
    <w:p w:rsidR="00F73FB6" w:rsidRPr="00F73FB6" w:rsidRDefault="00A7009A" w:rsidP="00F73FB6">
      <w:pPr>
        <w:widowControl/>
        <w:jc w:val="left"/>
        <w:rPr>
          <w:rFonts w:ascii="Helvetica" w:eastAsia="ＭＳ Ｐゴシック" w:hAnsi="Helvetica" w:cs="ＭＳ Ｐゴシック"/>
          <w:kern w:val="0"/>
          <w:sz w:val="24"/>
        </w:rPr>
      </w:pPr>
      <w:r w:rsidRPr="00A7009A">
        <w:rPr>
          <w:rFonts w:ascii="Helvetica" w:eastAsia="ＭＳ Ｐゴシック" w:hAnsi="Helvetica" w:cs="ＭＳ Ｐゴシック"/>
          <w:noProof/>
          <w:kern w:val="0"/>
          <w:sz w:val="24"/>
        </w:rPr>
        <w:pict>
          <v:rect id="_x0000_i1032" alt="" style="width:424.75pt;height:.05pt;mso-width-percent:0;mso-height-percent:0;mso-width-percent:0;mso-height-percent:0" o:hrpct="999" o:hralign="center" o:hrstd="t" o:hr="t" fillcolor="#a0a0a0" stroked="f">
            <v:textbox inset="5.85pt,.7pt,5.85pt,.7pt"/>
          </v:rect>
        </w:pict>
      </w:r>
    </w:p>
    <w:p w:rsidR="00F73FB6" w:rsidRDefault="00F73FB6" w:rsidP="00F73FB6">
      <w:pPr>
        <w:widowControl/>
        <w:numPr>
          <w:ilvl w:val="0"/>
          <w:numId w:val="2"/>
        </w:numPr>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Hypoxia Sensing and Transcriptional Response</w:t>
      </w:r>
      <w:r w:rsidRPr="00F73FB6">
        <w:rPr>
          <w:rFonts w:ascii="Helvetica" w:eastAsia="ＭＳ Ｐゴシック" w:hAnsi="Helvetica" w:cs="ＭＳ Ｐゴシック"/>
          <w:kern w:val="0"/>
          <w:sz w:val="24"/>
        </w:rPr>
        <w:br/>
        <w:t xml:space="preserve">Key regulators such as </w:t>
      </w:r>
      <w:r w:rsidRPr="00F73FB6">
        <w:rPr>
          <w:rFonts w:ascii="Helvetica" w:eastAsia="ＭＳ Ｐゴシック" w:hAnsi="Helvetica" w:cs="ＭＳ Ｐゴシック"/>
          <w:b/>
          <w:bCs/>
          <w:kern w:val="0"/>
          <w:sz w:val="24"/>
        </w:rPr>
        <w:t>EGLN1, EGLN3, HILPDA, ARNTL2, VEGFA</w:t>
      </w:r>
      <w:r w:rsidRPr="00F73FB6">
        <w:rPr>
          <w:rFonts w:ascii="Helvetica" w:eastAsia="ＭＳ Ｐゴシック" w:hAnsi="Helvetica" w:cs="ＭＳ Ｐゴシック"/>
          <w:kern w:val="0"/>
          <w:sz w:val="24"/>
        </w:rPr>
        <w:t xml:space="preserve">, and </w:t>
      </w:r>
      <w:r w:rsidRPr="00F73FB6">
        <w:rPr>
          <w:rFonts w:ascii="Helvetica" w:eastAsia="ＭＳ Ｐゴシック" w:hAnsi="Helvetica" w:cs="ＭＳ Ｐゴシック"/>
          <w:b/>
          <w:bCs/>
          <w:kern w:val="0"/>
          <w:sz w:val="24"/>
        </w:rPr>
        <w:t>MIR210HG</w:t>
      </w:r>
      <w:r w:rsidRPr="00F73FB6">
        <w:rPr>
          <w:rFonts w:ascii="Helvetica" w:eastAsia="ＭＳ Ｐゴシック" w:hAnsi="Helvetica" w:cs="ＭＳ Ｐゴシック"/>
          <w:kern w:val="0"/>
          <w:sz w:val="24"/>
        </w:rPr>
        <w:t xml:space="preserve"> indicate robust engagement of the hypoxia-inducible factor (HIF) pathway. These factors mediate the transcription of genes involved in anaerobic metabolism, angiogenesis, and cellular survival. The presence of </w:t>
      </w:r>
      <w:r w:rsidRPr="00F73FB6">
        <w:rPr>
          <w:rFonts w:ascii="Helvetica" w:eastAsia="ＭＳ Ｐゴシック" w:hAnsi="Helvetica" w:cs="ＭＳ Ｐゴシック"/>
          <w:b/>
          <w:bCs/>
          <w:kern w:val="0"/>
          <w:sz w:val="24"/>
        </w:rPr>
        <w:t>BNIP3, BNIP3L</w:t>
      </w:r>
      <w:r w:rsidRPr="00F73FB6">
        <w:rPr>
          <w:rFonts w:ascii="Helvetica" w:eastAsia="ＭＳ Ｐゴシック" w:hAnsi="Helvetica" w:cs="ＭＳ Ｐゴシック"/>
          <w:kern w:val="0"/>
          <w:sz w:val="24"/>
        </w:rPr>
        <w:t xml:space="preserve">, and </w:t>
      </w:r>
      <w:r w:rsidRPr="00F73FB6">
        <w:rPr>
          <w:rFonts w:ascii="Helvetica" w:eastAsia="ＭＳ Ｐゴシック" w:hAnsi="Helvetica" w:cs="ＭＳ Ｐゴシック"/>
          <w:b/>
          <w:bCs/>
          <w:kern w:val="0"/>
          <w:sz w:val="24"/>
        </w:rPr>
        <w:t>NDRG1</w:t>
      </w:r>
      <w:r w:rsidRPr="00F73FB6">
        <w:rPr>
          <w:rFonts w:ascii="Helvetica" w:eastAsia="ＭＳ Ｐゴシック" w:hAnsi="Helvetica" w:cs="ＭＳ Ｐゴシック"/>
          <w:kern w:val="0"/>
          <w:sz w:val="24"/>
        </w:rPr>
        <w:t xml:space="preserve"> supports pro-survival adaptations under low oxygen tension, including autophagy and mitochondrial regulation.</w:t>
      </w:r>
    </w:p>
    <w:p w:rsidR="000161B9" w:rsidRPr="00F73FB6" w:rsidRDefault="00A7009A" w:rsidP="000161B9">
      <w:pPr>
        <w:widowControl/>
        <w:spacing w:before="100" w:beforeAutospacing="1" w:after="100" w:afterAutospacing="1"/>
        <w:jc w:val="left"/>
        <w:rPr>
          <w:rFonts w:ascii="Helvetica" w:eastAsia="ＭＳ Ｐゴシック" w:hAnsi="Helvetica" w:cs="ＭＳ Ｐゴシック"/>
          <w:kern w:val="0"/>
          <w:sz w:val="24"/>
        </w:rPr>
      </w:pPr>
      <w:r>
        <w:rPr>
          <w:rFonts w:ascii="ＭＳ Ｐゴシック" w:eastAsia="ＭＳ Ｐゴシック" w:hAnsi="ＭＳ Ｐゴシック" w:cs="ＭＳ Ｐゴシック"/>
          <w:noProof/>
          <w:kern w:val="0"/>
          <w:sz w:val="24"/>
        </w:rPr>
        <w:pict w14:anchorId="3868EA6E">
          <v:rect id="_x0000_i1031" alt="" style="width:422.2pt;height:.05pt;mso-width-percent:0;mso-height-percent:0;mso-width-percent:0;mso-height-percent:0" o:hrpct="993" o:hralign="center" o:hrstd="t" o:hr="t" fillcolor="#a0a0a0" stroked="f">
            <v:textbox inset="5.85pt,.7pt,5.85pt,.7pt"/>
          </v:rect>
        </w:pict>
      </w:r>
    </w:p>
    <w:p w:rsidR="00F73FB6" w:rsidRDefault="00F73FB6" w:rsidP="00F73FB6">
      <w:pPr>
        <w:widowControl/>
        <w:numPr>
          <w:ilvl w:val="0"/>
          <w:numId w:val="2"/>
        </w:numPr>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Glycolytic Shift and Mitochondrial Modulation</w:t>
      </w:r>
      <w:r w:rsidRPr="00F73FB6">
        <w:rPr>
          <w:rFonts w:ascii="Helvetica" w:eastAsia="ＭＳ Ｐゴシック" w:hAnsi="Helvetica" w:cs="ＭＳ Ｐゴシック"/>
          <w:kern w:val="0"/>
          <w:sz w:val="24"/>
        </w:rPr>
        <w:br/>
        <w:t>The set includes multiple enzymes driving glycolysis and diverting carbon flux from mitochondrial respiration (</w:t>
      </w:r>
      <w:r w:rsidRPr="00F73FB6">
        <w:rPr>
          <w:rFonts w:ascii="Helvetica" w:eastAsia="ＭＳ Ｐゴシック" w:hAnsi="Helvetica" w:cs="ＭＳ Ｐゴシック"/>
          <w:b/>
          <w:bCs/>
          <w:kern w:val="0"/>
          <w:sz w:val="24"/>
        </w:rPr>
        <w:t>PFKFB3, PFKFB4, PDK1, PDK3, HK1, ALDOC, ENO2, G6PD, IDH3A/B/G, SDHA/C, OGDH, CS, GOT2</w:t>
      </w:r>
      <w:r w:rsidRPr="00F73FB6">
        <w:rPr>
          <w:rFonts w:ascii="Helvetica" w:eastAsia="ＭＳ Ｐゴシック" w:hAnsi="Helvetica" w:cs="ＭＳ Ｐゴシック"/>
          <w:kern w:val="0"/>
          <w:sz w:val="24"/>
        </w:rPr>
        <w:t xml:space="preserve">). These act synergistically to reduce oxygen consumption and enhance lactate production, ensuring energy production under hypoxia. </w:t>
      </w:r>
      <w:r w:rsidRPr="00F73FB6">
        <w:rPr>
          <w:rFonts w:ascii="Helvetica" w:eastAsia="ＭＳ Ｐゴシック" w:hAnsi="Helvetica" w:cs="ＭＳ Ｐゴシック"/>
          <w:b/>
          <w:bCs/>
          <w:kern w:val="0"/>
          <w:sz w:val="24"/>
        </w:rPr>
        <w:t>TXN, PRDX3, and NQO1</w:t>
      </w:r>
      <w:r w:rsidRPr="00F73FB6">
        <w:rPr>
          <w:rFonts w:ascii="Helvetica" w:eastAsia="ＭＳ Ｐゴシック" w:hAnsi="Helvetica" w:cs="ＭＳ Ｐゴシック"/>
          <w:kern w:val="0"/>
          <w:sz w:val="24"/>
        </w:rPr>
        <w:t xml:space="preserve"> participate in maintaining redox homeostasis during this metabolic transition.</w:t>
      </w:r>
    </w:p>
    <w:p w:rsidR="000161B9" w:rsidRPr="00F73FB6" w:rsidRDefault="00A7009A" w:rsidP="000161B9">
      <w:pPr>
        <w:widowControl/>
        <w:spacing w:before="100" w:beforeAutospacing="1" w:after="100" w:afterAutospacing="1"/>
        <w:jc w:val="left"/>
        <w:rPr>
          <w:rFonts w:ascii="Helvetica" w:eastAsia="ＭＳ Ｐゴシック" w:hAnsi="Helvetica" w:cs="ＭＳ Ｐゴシック"/>
          <w:kern w:val="0"/>
          <w:sz w:val="24"/>
        </w:rPr>
      </w:pPr>
      <w:r>
        <w:rPr>
          <w:rFonts w:ascii="ＭＳ Ｐゴシック" w:eastAsia="ＭＳ Ｐゴシック" w:hAnsi="ＭＳ Ｐゴシック" w:cs="ＭＳ Ｐゴシック"/>
          <w:noProof/>
          <w:kern w:val="0"/>
          <w:sz w:val="24"/>
        </w:rPr>
        <w:pict w14:anchorId="3868EA6E">
          <v:rect id="_x0000_i1030" alt="" style="width:422.2pt;height:.05pt;mso-width-percent:0;mso-height-percent:0;mso-width-percent:0;mso-height-percent:0" o:hrpct="993" o:hralign="center" o:hrstd="t" o:hr="t" fillcolor="#a0a0a0" stroked="f">
            <v:textbox inset="5.85pt,.7pt,5.85pt,.7pt"/>
          </v:rect>
        </w:pict>
      </w:r>
    </w:p>
    <w:p w:rsidR="00F73FB6" w:rsidRPr="00F73FB6" w:rsidRDefault="00F73FB6" w:rsidP="00F73FB6">
      <w:pPr>
        <w:widowControl/>
        <w:numPr>
          <w:ilvl w:val="0"/>
          <w:numId w:val="2"/>
        </w:numPr>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Cytoskeletal Remodeling and Motility Enhancement</w:t>
      </w:r>
      <w:r w:rsidRPr="00F73FB6">
        <w:rPr>
          <w:rFonts w:ascii="Helvetica" w:eastAsia="ＭＳ Ｐゴシック" w:hAnsi="Helvetica" w:cs="ＭＳ Ｐゴシック"/>
          <w:kern w:val="0"/>
          <w:sz w:val="24"/>
        </w:rPr>
        <w:br/>
        <w:t xml:space="preserve">Proteins such as </w:t>
      </w:r>
      <w:r w:rsidRPr="00F73FB6">
        <w:rPr>
          <w:rFonts w:ascii="Helvetica" w:eastAsia="ＭＳ Ｐゴシック" w:hAnsi="Helvetica" w:cs="ＭＳ Ｐゴシック"/>
          <w:b/>
          <w:bCs/>
          <w:kern w:val="0"/>
          <w:sz w:val="24"/>
        </w:rPr>
        <w:t>VCL, FLNA, ACTR2/3, MYH9, TUBA4A, TLN1, RHOA, IQGAP1, S100A4, ARPC2, DIAPH1, CTNNA1, VIM</w:t>
      </w:r>
      <w:r w:rsidRPr="00F73FB6">
        <w:rPr>
          <w:rFonts w:ascii="Helvetica" w:eastAsia="ＭＳ Ｐゴシック" w:hAnsi="Helvetica" w:cs="ＭＳ Ｐゴシック"/>
          <w:kern w:val="0"/>
          <w:sz w:val="24"/>
        </w:rPr>
        <w:t xml:space="preserve"> </w:t>
      </w:r>
      <w:proofErr w:type="gramStart"/>
      <w:r w:rsidRPr="00F73FB6">
        <w:rPr>
          <w:rFonts w:ascii="Helvetica" w:eastAsia="ＭＳ Ｐゴシック" w:hAnsi="Helvetica" w:cs="ＭＳ Ｐゴシック"/>
          <w:kern w:val="0"/>
          <w:sz w:val="24"/>
        </w:rPr>
        <w:t>are</w:t>
      </w:r>
      <w:proofErr w:type="gramEnd"/>
      <w:r w:rsidRPr="00F73FB6">
        <w:rPr>
          <w:rFonts w:ascii="Helvetica" w:eastAsia="ＭＳ Ｐゴシック" w:hAnsi="Helvetica" w:cs="ＭＳ Ｐゴシック"/>
          <w:kern w:val="0"/>
          <w:sz w:val="24"/>
        </w:rPr>
        <w:t xml:space="preserve"> involved in actin filament organization, microtubule dynamics, and focal adhesion turnover. These changes promote cell migration, invasion, and plasticity—a response consistent with epithelial-to-mesenchymal transition (EMT) under hypoxic stress.</w:t>
      </w:r>
    </w:p>
    <w:p w:rsidR="00F73FB6" w:rsidRDefault="00F73FB6" w:rsidP="00F73FB6">
      <w:pPr>
        <w:widowControl/>
        <w:numPr>
          <w:ilvl w:val="0"/>
          <w:numId w:val="2"/>
        </w:numPr>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lastRenderedPageBreak/>
        <w:t>Endocytosis, Vesicle Transport, and Membrane Dynamics</w:t>
      </w:r>
      <w:r w:rsidRPr="00F73FB6">
        <w:rPr>
          <w:rFonts w:ascii="Helvetica" w:eastAsia="ＭＳ Ｐゴシック" w:hAnsi="Helvetica" w:cs="ＭＳ Ｐゴシック"/>
          <w:kern w:val="0"/>
          <w:sz w:val="24"/>
        </w:rPr>
        <w:br/>
        <w:t>Elements of the endosomal and vesicular transport systems (</w:t>
      </w:r>
      <w:r w:rsidRPr="00F73FB6">
        <w:rPr>
          <w:rFonts w:ascii="Helvetica" w:eastAsia="ＭＳ Ｐゴシック" w:hAnsi="Helvetica" w:cs="ＭＳ Ｐゴシック"/>
          <w:b/>
          <w:bCs/>
          <w:kern w:val="0"/>
          <w:sz w:val="24"/>
        </w:rPr>
        <w:t>VPS18, VPS33B, RAB7A, DNM2, SNX1, NSF, M6PR</w:t>
      </w:r>
      <w:r w:rsidRPr="00F73FB6">
        <w:rPr>
          <w:rFonts w:ascii="Helvetica" w:eastAsia="ＭＳ Ｐゴシック" w:hAnsi="Helvetica" w:cs="ＭＳ Ｐゴシック"/>
          <w:kern w:val="0"/>
          <w:sz w:val="24"/>
        </w:rPr>
        <w:t xml:space="preserve">) support receptor recycling, trafficking of metabolic transporters (e.g., </w:t>
      </w:r>
      <w:r w:rsidRPr="00F73FB6">
        <w:rPr>
          <w:rFonts w:ascii="Helvetica" w:eastAsia="ＭＳ Ｐゴシック" w:hAnsi="Helvetica" w:cs="ＭＳ Ｐゴシック"/>
          <w:b/>
          <w:bCs/>
          <w:kern w:val="0"/>
          <w:sz w:val="24"/>
        </w:rPr>
        <w:t>SLC2A1, SLC2A3</w:t>
      </w:r>
      <w:r w:rsidRPr="00F73FB6">
        <w:rPr>
          <w:rFonts w:ascii="Helvetica" w:eastAsia="ＭＳ Ｐゴシック" w:hAnsi="Helvetica" w:cs="ＭＳ Ｐゴシック"/>
          <w:kern w:val="0"/>
          <w:sz w:val="24"/>
        </w:rPr>
        <w:t>), and membrane remodeling necessary for cellular adaptation to environmental changes.</w:t>
      </w:r>
    </w:p>
    <w:p w:rsidR="000161B9" w:rsidRPr="00F73FB6" w:rsidRDefault="00A7009A" w:rsidP="000161B9">
      <w:pPr>
        <w:widowControl/>
        <w:spacing w:before="100" w:beforeAutospacing="1" w:after="100" w:afterAutospacing="1"/>
        <w:jc w:val="left"/>
        <w:rPr>
          <w:rFonts w:ascii="Helvetica" w:eastAsia="ＭＳ Ｐゴシック" w:hAnsi="Helvetica" w:cs="ＭＳ Ｐゴシック"/>
          <w:kern w:val="0"/>
          <w:sz w:val="24"/>
        </w:rPr>
      </w:pPr>
      <w:r>
        <w:rPr>
          <w:rFonts w:ascii="ＭＳ Ｐゴシック" w:eastAsia="ＭＳ Ｐゴシック" w:hAnsi="ＭＳ Ｐゴシック" w:cs="ＭＳ Ｐゴシック"/>
          <w:noProof/>
          <w:kern w:val="0"/>
          <w:sz w:val="24"/>
        </w:rPr>
        <w:pict w14:anchorId="3868EA6E">
          <v:rect id="_x0000_i1029" alt="" style="width:422.2pt;height:.05pt;mso-width-percent:0;mso-height-percent:0;mso-width-percent:0;mso-height-percent:0" o:hrpct="993" o:hralign="center" o:hrstd="t" o:hr="t" fillcolor="#a0a0a0" stroked="f">
            <v:textbox inset="5.85pt,.7pt,5.85pt,.7pt"/>
          </v:rect>
        </w:pict>
      </w:r>
    </w:p>
    <w:p w:rsidR="00F73FB6" w:rsidRDefault="00F73FB6" w:rsidP="00F73FB6">
      <w:pPr>
        <w:widowControl/>
        <w:numPr>
          <w:ilvl w:val="0"/>
          <w:numId w:val="2"/>
        </w:numPr>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RNA Processing and Translation Control</w:t>
      </w:r>
      <w:r w:rsidRPr="00F73FB6">
        <w:rPr>
          <w:rFonts w:ascii="Helvetica" w:eastAsia="ＭＳ Ｐゴシック" w:hAnsi="Helvetica" w:cs="ＭＳ Ｐゴシック"/>
          <w:kern w:val="0"/>
          <w:sz w:val="24"/>
        </w:rPr>
        <w:br/>
        <w:t>Multiple RNA-binding proteins and splicing factors (</w:t>
      </w:r>
      <w:r w:rsidRPr="00F73FB6">
        <w:rPr>
          <w:rFonts w:ascii="Helvetica" w:eastAsia="ＭＳ Ｐゴシック" w:hAnsi="Helvetica" w:cs="ＭＳ Ｐゴシック"/>
          <w:b/>
          <w:bCs/>
          <w:kern w:val="0"/>
          <w:sz w:val="24"/>
        </w:rPr>
        <w:t>MIR210HG, SNRNP200, SF3B3, EFTUD2, HNRNPK, NONO, SYMPK, PA2G4</w:t>
      </w:r>
      <w:r w:rsidRPr="00F73FB6">
        <w:rPr>
          <w:rFonts w:ascii="Helvetica" w:eastAsia="ＭＳ Ｐゴシック" w:hAnsi="Helvetica" w:cs="ＭＳ Ｐゴシック"/>
          <w:kern w:val="0"/>
          <w:sz w:val="24"/>
        </w:rPr>
        <w:t>) contribute to post-transcriptional regulation. These modulate gene expression profiles in a manner consistent with stress adaptation, by altering mRNA stability, splicing, or translation efficiency.</w:t>
      </w:r>
    </w:p>
    <w:p w:rsidR="000161B9" w:rsidRPr="00F73FB6" w:rsidRDefault="00A7009A" w:rsidP="000161B9">
      <w:pPr>
        <w:widowControl/>
        <w:spacing w:before="100" w:beforeAutospacing="1" w:after="100" w:afterAutospacing="1"/>
        <w:jc w:val="left"/>
        <w:rPr>
          <w:rFonts w:ascii="Helvetica" w:eastAsia="ＭＳ Ｐゴシック" w:hAnsi="Helvetica" w:cs="ＭＳ Ｐゴシック"/>
          <w:kern w:val="0"/>
          <w:sz w:val="24"/>
        </w:rPr>
      </w:pPr>
      <w:r>
        <w:rPr>
          <w:rFonts w:ascii="ＭＳ Ｐゴシック" w:eastAsia="ＭＳ Ｐゴシック" w:hAnsi="ＭＳ Ｐゴシック" w:cs="ＭＳ Ｐゴシック"/>
          <w:noProof/>
          <w:kern w:val="0"/>
          <w:sz w:val="24"/>
        </w:rPr>
        <w:pict w14:anchorId="3868EA6E">
          <v:rect id="_x0000_i1028" alt="" style="width:422.2pt;height:.05pt;mso-width-percent:0;mso-height-percent:0;mso-width-percent:0;mso-height-percent:0" o:hrpct="993" o:hralign="center" o:hrstd="t" o:hr="t" fillcolor="#a0a0a0" stroked="f">
            <v:textbox inset="5.85pt,.7pt,5.85pt,.7pt"/>
          </v:rect>
        </w:pict>
      </w:r>
    </w:p>
    <w:p w:rsidR="00F73FB6" w:rsidRDefault="00F73FB6" w:rsidP="00F73FB6">
      <w:pPr>
        <w:widowControl/>
        <w:numPr>
          <w:ilvl w:val="0"/>
          <w:numId w:val="2"/>
        </w:numPr>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 xml:space="preserve">Ubiquitination and </w:t>
      </w:r>
      <w:proofErr w:type="spellStart"/>
      <w:r w:rsidRPr="00F73FB6">
        <w:rPr>
          <w:rFonts w:ascii="Helvetica" w:eastAsia="ＭＳ Ｐゴシック" w:hAnsi="Helvetica" w:cs="ＭＳ Ｐゴシック"/>
          <w:b/>
          <w:bCs/>
          <w:kern w:val="0"/>
          <w:sz w:val="24"/>
        </w:rPr>
        <w:t>Proteostasis</w:t>
      </w:r>
      <w:proofErr w:type="spellEnd"/>
      <w:r w:rsidRPr="00F73FB6">
        <w:rPr>
          <w:rFonts w:ascii="Helvetica" w:eastAsia="ＭＳ Ｐゴシック" w:hAnsi="Helvetica" w:cs="ＭＳ Ｐゴシック"/>
          <w:kern w:val="0"/>
          <w:sz w:val="24"/>
        </w:rPr>
        <w:br/>
        <w:t xml:space="preserve">Protein turnover and homeostasis are mediated by </w:t>
      </w:r>
      <w:r w:rsidRPr="00F73FB6">
        <w:rPr>
          <w:rFonts w:ascii="Helvetica" w:eastAsia="ＭＳ Ｐゴシック" w:hAnsi="Helvetica" w:cs="ＭＳ Ｐゴシック"/>
          <w:b/>
          <w:bCs/>
          <w:kern w:val="0"/>
          <w:sz w:val="24"/>
        </w:rPr>
        <w:t>UBE2O, UBE3C, OTUB1, RNF111</w:t>
      </w:r>
      <w:r w:rsidRPr="00F73FB6">
        <w:rPr>
          <w:rFonts w:ascii="Helvetica" w:eastAsia="ＭＳ Ｐゴシック" w:hAnsi="Helvetica" w:cs="ＭＳ Ｐゴシック"/>
          <w:kern w:val="0"/>
          <w:sz w:val="24"/>
        </w:rPr>
        <w:t xml:space="preserve">, and </w:t>
      </w:r>
      <w:r w:rsidRPr="00F73FB6">
        <w:rPr>
          <w:rFonts w:ascii="Helvetica" w:eastAsia="ＭＳ Ｐゴシック" w:hAnsi="Helvetica" w:cs="ＭＳ Ｐゴシック"/>
          <w:b/>
          <w:bCs/>
          <w:kern w:val="0"/>
          <w:sz w:val="24"/>
        </w:rPr>
        <w:t>BAG6</w:t>
      </w:r>
      <w:r w:rsidRPr="00F73FB6">
        <w:rPr>
          <w:rFonts w:ascii="Helvetica" w:eastAsia="ＭＳ Ｐゴシック" w:hAnsi="Helvetica" w:cs="ＭＳ Ｐゴシック"/>
          <w:kern w:val="0"/>
          <w:sz w:val="24"/>
        </w:rPr>
        <w:t>, which ensure removal of damaged or unneeded proteins under stress. This function integrates with hypoxia-induced metabolic rewiring to prevent accumulation of toxic intermediates.</w:t>
      </w:r>
    </w:p>
    <w:p w:rsidR="000161B9" w:rsidRPr="00F73FB6" w:rsidRDefault="00A7009A" w:rsidP="000161B9">
      <w:pPr>
        <w:widowControl/>
        <w:spacing w:before="100" w:beforeAutospacing="1" w:after="100" w:afterAutospacing="1"/>
        <w:jc w:val="left"/>
        <w:rPr>
          <w:rFonts w:ascii="Helvetica" w:eastAsia="ＭＳ Ｐゴシック" w:hAnsi="Helvetica" w:cs="ＭＳ Ｐゴシック"/>
          <w:kern w:val="0"/>
          <w:sz w:val="24"/>
        </w:rPr>
      </w:pPr>
      <w:r>
        <w:rPr>
          <w:rFonts w:ascii="ＭＳ Ｐゴシック" w:eastAsia="ＭＳ Ｐゴシック" w:hAnsi="ＭＳ Ｐゴシック" w:cs="ＭＳ Ｐゴシック"/>
          <w:noProof/>
          <w:kern w:val="0"/>
          <w:sz w:val="24"/>
        </w:rPr>
        <w:pict w14:anchorId="3868EA6E">
          <v:rect id="_x0000_i1027" alt="" style="width:422.2pt;height:.05pt;mso-width-percent:0;mso-height-percent:0;mso-width-percent:0;mso-height-percent:0" o:hrpct="993" o:hralign="center" o:hrstd="t" o:hr="t" fillcolor="#a0a0a0" stroked="f">
            <v:textbox inset="5.85pt,.7pt,5.85pt,.7pt"/>
          </v:rect>
        </w:pict>
      </w:r>
    </w:p>
    <w:p w:rsidR="00F73FB6" w:rsidRPr="00F73FB6" w:rsidRDefault="00F73FB6" w:rsidP="00F73FB6">
      <w:pPr>
        <w:widowControl/>
        <w:numPr>
          <w:ilvl w:val="0"/>
          <w:numId w:val="2"/>
        </w:numPr>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Stress Signaling and Nuclear Regulation</w:t>
      </w:r>
      <w:r w:rsidRPr="00F73FB6">
        <w:rPr>
          <w:rFonts w:ascii="Helvetica" w:eastAsia="ＭＳ Ｐゴシック" w:hAnsi="Helvetica" w:cs="ＭＳ Ｐゴシック"/>
          <w:kern w:val="0"/>
          <w:sz w:val="24"/>
        </w:rPr>
        <w:br/>
        <w:t>Nuclear and chromatin regulators (</w:t>
      </w:r>
      <w:r w:rsidRPr="00F73FB6">
        <w:rPr>
          <w:rFonts w:ascii="Helvetica" w:eastAsia="ＭＳ Ｐゴシック" w:hAnsi="Helvetica" w:cs="ＭＳ Ｐゴシック"/>
          <w:b/>
          <w:bCs/>
          <w:kern w:val="0"/>
          <w:sz w:val="24"/>
        </w:rPr>
        <w:t>HDAC1/3, SIN3A, CHD4, SMAD3</w:t>
      </w:r>
      <w:r w:rsidRPr="00F73FB6">
        <w:rPr>
          <w:rFonts w:ascii="Helvetica" w:eastAsia="ＭＳ Ｐゴシック" w:hAnsi="Helvetica" w:cs="ＭＳ Ｐゴシック"/>
          <w:kern w:val="0"/>
          <w:sz w:val="24"/>
        </w:rPr>
        <w:t>) modulate transcriptional landscapes in response to oxygen availability. This includes repression or activation of stress-responsive genes and remodeling of chromatin structure.</w:t>
      </w:r>
    </w:p>
    <w:p w:rsidR="00F73FB6" w:rsidRPr="00F73FB6" w:rsidRDefault="00A7009A" w:rsidP="00F73FB6">
      <w:pPr>
        <w:widowControl/>
        <w:jc w:val="left"/>
        <w:rPr>
          <w:rFonts w:ascii="Helvetica" w:eastAsia="ＭＳ Ｐゴシック" w:hAnsi="Helvetica" w:cs="ＭＳ Ｐゴシック"/>
          <w:kern w:val="0"/>
          <w:sz w:val="24"/>
        </w:rPr>
      </w:pPr>
      <w:r w:rsidRPr="00A7009A">
        <w:rPr>
          <w:rFonts w:ascii="Helvetica" w:eastAsia="ＭＳ Ｐゴシック" w:hAnsi="Helvetica" w:cs="ＭＳ Ｐゴシック"/>
          <w:noProof/>
          <w:kern w:val="0"/>
          <w:sz w:val="24"/>
        </w:rPr>
        <w:pict>
          <v:rect id="_x0000_i1026" alt="" style="width:424.75pt;height:.05pt;mso-width-percent:0;mso-height-percent:0;mso-width-percent:0;mso-height-percent:0" o:hrpct="999" o:hralign="center" o:hrstd="t" o:hr="t" fillcolor="#a0a0a0" stroked="f">
            <v:textbox inset="5.85pt,.7pt,5.85pt,.7pt"/>
          </v:rect>
        </w:pict>
      </w:r>
    </w:p>
    <w:p w:rsidR="00F73FB6" w:rsidRPr="00F73FB6" w:rsidRDefault="00F73FB6" w:rsidP="00F73FB6">
      <w:pPr>
        <w:widowControl/>
        <w:spacing w:before="100" w:beforeAutospacing="1" w:after="100" w:afterAutospacing="1"/>
        <w:jc w:val="left"/>
        <w:outlineLvl w:val="2"/>
        <w:rPr>
          <w:rFonts w:ascii="Helvetica" w:eastAsia="ＭＳ Ｐゴシック" w:hAnsi="Helvetica" w:cs="ＭＳ Ｐゴシック"/>
          <w:b/>
          <w:bCs/>
          <w:kern w:val="0"/>
          <w:sz w:val="27"/>
          <w:szCs w:val="27"/>
        </w:rPr>
      </w:pPr>
      <w:r w:rsidRPr="00F73FB6">
        <w:rPr>
          <w:rFonts w:ascii="Helvetica" w:eastAsia="ＭＳ Ｐゴシック" w:hAnsi="Helvetica" w:cs="ＭＳ Ｐゴシック"/>
          <w:b/>
          <w:bCs/>
          <w:kern w:val="0"/>
          <w:sz w:val="27"/>
          <w:szCs w:val="27"/>
        </w:rPr>
        <w:t>Integration and Functional Synergy</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kern w:val="0"/>
          <w:sz w:val="24"/>
        </w:rPr>
        <w:lastRenderedPageBreak/>
        <w:t>The integration of hypoxia sensors, glycolytic enzymes, cytoskeletal modulators, vesicle transport machinery, and RNA regulators forms a coherent system that drives adaptive responses under reduced oxygen availability. Structural remodeling enhances motility, metabolic rewiring supports anaerobic survival, and transcriptional/post-transcriptional regulation fine-tunes gene expression. This multifaceted response is characteristic of hypoxia adaptation in developmental, pathological (e.g., cancer), or physiological stress contexts.</w:t>
      </w:r>
    </w:p>
    <w:p w:rsidR="00F73FB6" w:rsidRPr="00F73FB6" w:rsidRDefault="00A7009A" w:rsidP="00F73FB6">
      <w:pPr>
        <w:widowControl/>
        <w:jc w:val="left"/>
        <w:rPr>
          <w:rFonts w:ascii="Helvetica" w:eastAsia="ＭＳ Ｐゴシック" w:hAnsi="Helvetica" w:cs="ＭＳ Ｐゴシック"/>
          <w:kern w:val="0"/>
          <w:sz w:val="24"/>
        </w:rPr>
      </w:pPr>
      <w:r w:rsidRPr="00A7009A">
        <w:rPr>
          <w:rFonts w:ascii="Helvetica" w:eastAsia="ＭＳ Ｐゴシック" w:hAnsi="Helvetica" w:cs="ＭＳ Ｐゴシック"/>
          <w:noProof/>
          <w:kern w:val="0"/>
          <w:sz w:val="24"/>
        </w:rPr>
        <w:pict>
          <v:rect id="_x0000_i1025" alt="" style="width:424.75pt;height:.05pt;mso-width-percent:0;mso-height-percent:0;mso-width-percent:0;mso-height-percent:0" o:hrpct="999" o:hralign="center" o:hrstd="t" o:hr="t" fillcolor="#a0a0a0" stroked="f">
            <v:textbox inset="5.85pt,.7pt,5.85pt,.7pt"/>
          </v:rect>
        </w:pic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Confidence Score</w:t>
      </w:r>
      <w:r w:rsidRPr="00F73FB6">
        <w:rPr>
          <w:rFonts w:ascii="Helvetica" w:eastAsia="ＭＳ Ｐゴシック" w:hAnsi="Helvetica" w:cs="ＭＳ Ｐゴシック"/>
          <w:kern w:val="0"/>
          <w:sz w:val="24"/>
        </w:rPr>
        <w:t>: (0.87)</w:t>
      </w:r>
      <w:r w:rsidRPr="00F73FB6">
        <w:rPr>
          <w:rFonts w:ascii="Helvetica" w:eastAsia="ＭＳ Ｐゴシック" w:hAnsi="Helvetica" w:cs="ＭＳ Ｐゴシック"/>
          <w:kern w:val="0"/>
          <w:sz w:val="24"/>
        </w:rPr>
        <w:br/>
        <w:t>This reflects high functional coherence among a substantial proportion of the proteins and RNAs in hypoxia adaptation, though inclusion of broadly acting elements (e.g., general transcription factors, metabolic enzymes with non-specific roles) slightly lowers the score from a maximum.</w:t>
      </w:r>
    </w:p>
    <w:p w:rsidR="00193CA0" w:rsidRPr="00AB12F3" w:rsidRDefault="00193CA0">
      <w:pPr>
        <w:rPr>
          <w:rFonts w:ascii="Helvetica" w:hAnsi="Helvetica"/>
        </w:rPr>
      </w:pP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kern w:val="0"/>
          <w:sz w:val="24"/>
        </w:rPr>
        <w:t>-- Summary --</w:t>
      </w:r>
      <w:r w:rsidRPr="00F73FB6">
        <w:rPr>
          <w:rFonts w:ascii="Helvetica" w:eastAsia="ＭＳ Ｐゴシック" w:hAnsi="Helvetica" w:cs="ＭＳ Ｐゴシック"/>
          <w:kern w:val="0"/>
          <w:sz w:val="24"/>
        </w:rPr>
        <w:br/>
        <w:t xml:space="preserve">The selected genes support the name </w:t>
      </w:r>
      <w:r w:rsidRPr="00F73FB6">
        <w:rPr>
          <w:rFonts w:ascii="Helvetica" w:eastAsia="ＭＳ Ｐゴシック" w:hAnsi="Helvetica" w:cs="ＭＳ Ｐゴシック"/>
          <w:i/>
          <w:iCs/>
          <w:kern w:val="0"/>
          <w:sz w:val="24"/>
        </w:rPr>
        <w:t>"Hypoxia-driven metabolic and structural reprogramming"</w:t>
      </w:r>
      <w:r w:rsidRPr="00F73FB6">
        <w:rPr>
          <w:rFonts w:ascii="Helvetica" w:eastAsia="ＭＳ Ｐゴシック" w:hAnsi="Helvetica" w:cs="ＭＳ Ｐゴシック"/>
          <w:kern w:val="0"/>
          <w:sz w:val="24"/>
        </w:rPr>
        <w:t xml:space="preserve"> by playing defined roles in hypoxia sensing (e.g., EGLN1, HILPDA), metabolic adaptation via glycolysis and mitochondrial modulation (e.g., PDK1, HK1, IDH3A), cytoskeletal remodeling (e.g., FLNA, ACTR2), vesicle trafficking (e.g., RAB7A, VPS33B), RNA regulation (e.g., MIR210HG), and </w:t>
      </w:r>
      <w:proofErr w:type="spellStart"/>
      <w:r w:rsidRPr="00F73FB6">
        <w:rPr>
          <w:rFonts w:ascii="Helvetica" w:eastAsia="ＭＳ Ｐゴシック" w:hAnsi="Helvetica" w:cs="ＭＳ Ｐゴシック"/>
          <w:kern w:val="0"/>
          <w:sz w:val="24"/>
        </w:rPr>
        <w:t>proteostasis</w:t>
      </w:r>
      <w:proofErr w:type="spellEnd"/>
      <w:r w:rsidRPr="00F73FB6">
        <w:rPr>
          <w:rFonts w:ascii="Helvetica" w:eastAsia="ＭＳ Ｐゴシック" w:hAnsi="Helvetica" w:cs="ＭＳ Ｐゴシック"/>
          <w:kern w:val="0"/>
          <w:sz w:val="24"/>
        </w:rPr>
        <w:t xml:space="preserve"> (e.g., OTUB1, BAG6). These functions are asserted clearly and specifically in the context of cellular adaptation to oxygen deprivation.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kern w:val="0"/>
          <w:sz w:val="24"/>
        </w:rPr>
        <w:t>-- Explanation --</w:t>
      </w:r>
      <w:r w:rsidRPr="00F73FB6">
        <w:rPr>
          <w:rFonts w:ascii="Helvetica" w:eastAsia="ＭＳ Ｐゴシック" w:hAnsi="Helvetica" w:cs="ＭＳ Ｐゴシック"/>
          <w:kern w:val="0"/>
          <w:sz w:val="24"/>
        </w:rPr>
        <w:br/>
      </w:r>
      <w:r w:rsidRPr="00F73FB6">
        <w:rPr>
          <w:rFonts w:ascii="Helvetica" w:eastAsia="ＭＳ Ｐゴシック" w:hAnsi="Helvetica" w:cs="ＭＳ Ｐゴシック"/>
          <w:b/>
          <w:bCs/>
          <w:kern w:val="0"/>
          <w:sz w:val="24"/>
        </w:rPr>
        <w:t>EGLN1</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Involved in HIF pathway activation, a core hypoxia-sensing mechanism triggering transcriptional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EGLN3</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Contributes to hypoxia-inducible gene regulation, reinforcing oxygen-dependent transcriptional control.</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lastRenderedPageBreak/>
        <w:t>HILPDA</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Explicitly linked to hypoxia response; modulates lipid metabolism under low oxygen.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ARNTL2</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Listed among HIF pathway regulators, suggesting involvement in hypoxia-driven transcriptional changes.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VEGFA</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Promotes angiogenesis, a canonical downstream target of hypoxia signaling pathways.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MIR210HG</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Functions in the hypoxia response, involved in post-transcriptional regulation and stress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BNIP3</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Supports autophagy and mitochondrial regulation under hypoxia, aiding survival.</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BNIP3L</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Similar to BNIP3, promotes hypoxia-adaptive mitochondrial function.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NDRG1</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Linked to pro-survival adaptation under low oxygen, supports the hypoxia stress response.</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PFKFB3</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Enzyme catalyzing glycolysis, promotes metabolic shift to anaerobic energy production.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PFKFB4</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Glycolytic regulator, supports lactate production during hypoxic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PDK1</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Inhibits pyruvate dehydrogenase, redirecting pyruvate away from mitochondrial respiration.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lastRenderedPageBreak/>
        <w:t>PDK3</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Reinforces the glycolytic shift, further reducing mitochondrial oxygen consumption.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HK1</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Initial enzyme of glycolysis; upregulated in hypoxia to support anaerobic metabolism.</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ALDOC</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Contributes to glycolysis, supports anaerobic ATP production during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ENO2</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Part of glycolytic flux, indirectly linked to hypoxic energy remodeling.</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G6PD</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Generates NADPH, maintains redox balance during hypoxia-induced metabolic stress.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IDH3A</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Mitochondrial enzyme modulated in hypoxia; part of energy pathway rewiring.</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IDH3B</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Supports mitochondrial modulation under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IDH3G</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Complements IDH3A/B in metabolic reprogramming.</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SDHA</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Electron transport enzyme; regulated to reduce oxidative metabolism during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SDHC</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Supports mitochondrial modulation; part of the same respiratory complex as SDHA.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OGDH</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Krebs cycle enzyme; reprogrammed under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lastRenderedPageBreak/>
        <w:t>CS</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TCA cycle enzyme downregulated during hypoxia to minimize oxygen use.</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GOT2</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Supports redox and metabolic balance during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TXN</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Maintains redox homeostasis, critical under hypoxia-induced oxidative stress.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PRDX3</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Reduces mitochondrial ROS; essential for redox balance in hypoxic conditions.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NQO1</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Involved in detoxification and redox balance under metabolic stress.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VCL</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Participates in cytoskeletal remodeling, enabling motility under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FLNA</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Facilitates actin remodeling, supports structural plasticity in hypoxic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ACTR2</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Contributes to actin cytoskeleton dynamics; supports motility in stress contexts.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ACTR3</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Paired with ACTR2 in actin remodeling; supports migratory changes.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MYH9</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Motor protein, enables stress-related structural and motile functions.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TUBA4A</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Microtubule component, modulates structural dynamics in response to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TLN1</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Adhesion protein enabling cytoskeletal adaptation under stress.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RHOA</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Regulates actin dynamics, contributes to EMT-like changes under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lastRenderedPageBreak/>
        <w:t>IQGAP1</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Scaffolding protein for cytoskeletal regulation under hypoxia-induced remodeling.</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S100A4</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Involved in motility enhancement under hypoxic conditions.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ARPC2</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Actin nucleation factor involved in cytoskeletal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DIAPH1</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Regulates actin filament elongation during structural remodeling.</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CTNNA1</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 xml:space="preserve">Links actin cytoskeleton to </w:t>
      </w:r>
      <w:proofErr w:type="spellStart"/>
      <w:r w:rsidRPr="00F73FB6">
        <w:rPr>
          <w:rFonts w:ascii="Helvetica" w:eastAsia="ＭＳ Ｐゴシック" w:hAnsi="Helvetica" w:cs="ＭＳ Ｐゴシック"/>
          <w:kern w:val="0"/>
          <w:sz w:val="24"/>
        </w:rPr>
        <w:t>adherens</w:t>
      </w:r>
      <w:proofErr w:type="spellEnd"/>
      <w:r w:rsidRPr="00F73FB6">
        <w:rPr>
          <w:rFonts w:ascii="Helvetica" w:eastAsia="ＭＳ Ｐゴシック" w:hAnsi="Helvetica" w:cs="ＭＳ Ｐゴシック"/>
          <w:kern w:val="0"/>
          <w:sz w:val="24"/>
        </w:rPr>
        <w:t xml:space="preserve"> junctions; supports cell–cell detachment.</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VIM</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Intermediate filament protein, modulated during hypoxia-related EMT.</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VPS18</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Part of endosomal sorting system; regulates membrane trafficking during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VPS33B</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Functions in vesicle fusion and transport, supports adaptation under low oxygen.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RAB7A</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Governs vesicle maturation and transport; relevant to receptor recycling in stress.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DNM2</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Involved in membrane remodeling; supports trafficking under changing environments.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SNX1</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Receptor recycling protein, supports transport adaptation under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lastRenderedPageBreak/>
        <w:t>NSF</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General vesicle fusion factor, supports endocytic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M6PR</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Lysosomal trafficking component; involved in stress-induced sorting.</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SLC2A1</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Glucose transporter, upregulated under hypoxia to support glycolysis.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SLC2A3</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Facilitates glucose uptake during anaerobic metabolism.</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SNRNP200</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Splicing factor, regulates transcript processing under hypoxic conditions.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SF3B3</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Component of splicing machinery; part of post-transcriptional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EFTUD2</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Elongation factor, contributes to splicing under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HNRNPK</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RNA-binding protein; modulates gene expression in hypoxia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NONO</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Transcriptional co-regulator and RNA-binding protein; modulates gene expression.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SYMPK</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RNA regulator, contributes to post-transcriptional gene regulation.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PA2G4</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RNA-associated protein, functions in hypoxia-linked gene regulation.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UBE2O</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 xml:space="preserve">Involved in protein degradation, maintains </w:t>
      </w:r>
      <w:proofErr w:type="spellStart"/>
      <w:r w:rsidRPr="00F73FB6">
        <w:rPr>
          <w:rFonts w:ascii="Helvetica" w:eastAsia="ＭＳ Ｐゴシック" w:hAnsi="Helvetica" w:cs="ＭＳ Ｐゴシック"/>
          <w:kern w:val="0"/>
          <w:sz w:val="24"/>
        </w:rPr>
        <w:t>proteostasis</w:t>
      </w:r>
      <w:proofErr w:type="spellEnd"/>
      <w:r w:rsidRPr="00F73FB6">
        <w:rPr>
          <w:rFonts w:ascii="Helvetica" w:eastAsia="ＭＳ Ｐゴシック" w:hAnsi="Helvetica" w:cs="ＭＳ Ｐゴシック"/>
          <w:kern w:val="0"/>
          <w:sz w:val="24"/>
        </w:rPr>
        <w:t xml:space="preserve"> under stress.</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UBE3C</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Ubiquitin ligase, eliminates damaged proteins during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lastRenderedPageBreak/>
        <w:t>OTUB1</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r>
      <w:proofErr w:type="spellStart"/>
      <w:r w:rsidRPr="00F73FB6">
        <w:rPr>
          <w:rFonts w:ascii="Helvetica" w:eastAsia="ＭＳ Ｐゴシック" w:hAnsi="Helvetica" w:cs="ＭＳ Ｐゴシック"/>
          <w:kern w:val="0"/>
          <w:sz w:val="24"/>
        </w:rPr>
        <w:t>Deubiquitinase</w:t>
      </w:r>
      <w:proofErr w:type="spellEnd"/>
      <w:r w:rsidRPr="00F73FB6">
        <w:rPr>
          <w:rFonts w:ascii="Helvetica" w:eastAsia="ＭＳ Ｐゴシック" w:hAnsi="Helvetica" w:cs="ＭＳ Ｐゴシック"/>
          <w:kern w:val="0"/>
          <w:sz w:val="24"/>
        </w:rPr>
        <w:t>; modulates protein stability during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RNF111</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Ubiquitin ligase, supports regulated protein turnover.</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BAG6</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 xml:space="preserve">Chaperone/co-factor involved in hypoxia-induced </w:t>
      </w:r>
      <w:proofErr w:type="spellStart"/>
      <w:r w:rsidRPr="00F73FB6">
        <w:rPr>
          <w:rFonts w:ascii="Helvetica" w:eastAsia="ＭＳ Ｐゴシック" w:hAnsi="Helvetica" w:cs="ＭＳ Ｐゴシック"/>
          <w:kern w:val="0"/>
          <w:sz w:val="24"/>
        </w:rPr>
        <w:t>proteostasis</w:t>
      </w:r>
      <w:proofErr w:type="spellEnd"/>
      <w:r w:rsidRPr="00F73FB6">
        <w:rPr>
          <w:rFonts w:ascii="Helvetica" w:eastAsia="ＭＳ Ｐゴシック" w:hAnsi="Helvetica" w:cs="ＭＳ Ｐゴシック"/>
          <w:kern w:val="0"/>
          <w:sz w:val="24"/>
        </w:rPr>
        <w:t>.</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HDAC1</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Chromatin regulator modulating transcription during hypoxia.</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HDAC3</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Works with HDAC1; transcriptional repression/activation in response to oxygen.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SIN3A</w:t>
      </w:r>
      <w:r w:rsidRPr="00F73FB6">
        <w:rPr>
          <w:rFonts w:ascii="Helvetica" w:eastAsia="ＭＳ Ｐゴシック" w:hAnsi="Helvetica" w:cs="ＭＳ Ｐゴシック"/>
          <w:kern w:val="0"/>
          <w:sz w:val="24"/>
        </w:rPr>
        <w:t>: High</w:t>
      </w:r>
      <w:r w:rsidRPr="00F73FB6">
        <w:rPr>
          <w:rFonts w:ascii="Helvetica" w:eastAsia="ＭＳ Ｐゴシック" w:hAnsi="Helvetica" w:cs="ＭＳ Ｐゴシック"/>
          <w:kern w:val="0"/>
          <w:sz w:val="24"/>
        </w:rPr>
        <w:br/>
        <w:t>Chromatin modulator, adjusts gene expression in low oxygen.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CHD4</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Chromatin remodeler, contributes to transcriptional adaptation.</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b/>
          <w:bCs/>
          <w:kern w:val="0"/>
          <w:sz w:val="24"/>
        </w:rPr>
        <w:t>SMAD3</w:t>
      </w:r>
      <w:r w:rsidRPr="00F73FB6">
        <w:rPr>
          <w:rFonts w:ascii="Helvetica" w:eastAsia="ＭＳ Ｐゴシック" w:hAnsi="Helvetica" w:cs="ＭＳ Ｐゴシック"/>
          <w:kern w:val="0"/>
          <w:sz w:val="24"/>
        </w:rPr>
        <w:t>: Medium</w:t>
      </w:r>
      <w:r w:rsidRPr="00F73FB6">
        <w:rPr>
          <w:rFonts w:ascii="Helvetica" w:eastAsia="ＭＳ Ｐゴシック" w:hAnsi="Helvetica" w:cs="ＭＳ Ｐゴシック"/>
          <w:kern w:val="0"/>
          <w:sz w:val="24"/>
        </w:rPr>
        <w:br/>
        <w:t>Signal transducer with transcriptional regulatory functions in stress response.</w:t>
      </w:r>
    </w:p>
    <w:p w:rsidR="00F73FB6" w:rsidRPr="00F73FB6" w:rsidRDefault="00F73FB6" w:rsidP="00F73FB6">
      <w:pPr>
        <w:widowControl/>
        <w:spacing w:before="100" w:beforeAutospacing="1" w:after="100" w:afterAutospacing="1"/>
        <w:jc w:val="left"/>
        <w:rPr>
          <w:rFonts w:ascii="Helvetica" w:eastAsia="ＭＳ Ｐゴシック" w:hAnsi="Helvetica" w:cs="ＭＳ Ｐゴシック"/>
          <w:kern w:val="0"/>
          <w:sz w:val="24"/>
        </w:rPr>
      </w:pPr>
      <w:r w:rsidRPr="00F73FB6">
        <w:rPr>
          <w:rFonts w:ascii="Helvetica" w:eastAsia="ＭＳ Ｐゴシック" w:hAnsi="Helvetica" w:cs="ＭＳ Ｐゴシック"/>
          <w:kern w:val="0"/>
          <w:sz w:val="24"/>
        </w:rPr>
        <w:t>-- genes supporting the name:</w:t>
      </w:r>
      <w:r w:rsidRPr="00F73FB6">
        <w:rPr>
          <w:rFonts w:ascii="Helvetica" w:eastAsia="ＭＳ Ｐゴシック" w:hAnsi="Helvetica" w:cs="ＭＳ Ｐゴシック"/>
          <w:kern w:val="0"/>
          <w:sz w:val="24"/>
        </w:rPr>
        <w:br/>
        <w:t>EGLN1, EGLN3, HILPDA, ARNTL2, VEGFA, MIR210HG, BNIP3, BNIP3L, NDRG1, PFKFB3, PFKFB4, PDK1, PDK3, HK1, ALDOC, ENO2, G6PD, IDH3A, IDH3B, IDH3G, SDHA, SDHC, OGDH, CS, GOT2, TXN, PRDX3, NQO1, VCL, FLNA, ACTR2, ACTR3, MYH9, TUBA4A, TLN1, RHOA, IQGAP1, S100A4, ARPC2, DIAPH1, CTNNA1, VIM, VPS18, VPS33B, RAB7A, DNM2, SNX1, NSF, M6PR, SLC2A1, SLC2A3, SNRNP200, SF3B3, EFTUD2, HNRNPK, NONO, SYMPK, PA2G4, UBE2O, UBE3C, OTUB1, RNF111, BAG6, HDAC1, HDAC3, SIN3A, CHD4, SMAD3</w:t>
      </w:r>
    </w:p>
    <w:p w:rsidR="00F73FB6" w:rsidRPr="00AB12F3" w:rsidRDefault="00F73FB6">
      <w:pPr>
        <w:rPr>
          <w:rFonts w:ascii="Helvetica" w:hAnsi="Helvetica"/>
        </w:rPr>
      </w:pPr>
    </w:p>
    <w:sectPr w:rsidR="00F73FB6" w:rsidRPr="00AB12F3" w:rsidSect="003948A9">
      <w:pgSz w:w="11900" w:h="16840"/>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6C3C"/>
    <w:multiLevelType w:val="multilevel"/>
    <w:tmpl w:val="7CDEDA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E17532"/>
    <w:multiLevelType w:val="multilevel"/>
    <w:tmpl w:val="AFC4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952567">
    <w:abstractNumId w:val="1"/>
  </w:num>
  <w:num w:numId="2" w16cid:durableId="1110857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B6"/>
    <w:rsid w:val="000161B9"/>
    <w:rsid w:val="000F7305"/>
    <w:rsid w:val="00193CA0"/>
    <w:rsid w:val="002A7E87"/>
    <w:rsid w:val="00352995"/>
    <w:rsid w:val="003948A9"/>
    <w:rsid w:val="008D0AD2"/>
    <w:rsid w:val="00A7009A"/>
    <w:rsid w:val="00AB12F3"/>
    <w:rsid w:val="00F73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F6FE2A1"/>
  <w15:chartTrackingRefBased/>
  <w15:docId w15:val="{BB53528C-2177-4C47-AE8B-18A2AF35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73F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73F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F73FB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73F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73F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73F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73F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73F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73F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73FB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73FB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F73FB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73FB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73FB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73FB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73FB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73FB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73FB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73F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73F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3FB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73F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3FB6"/>
    <w:pPr>
      <w:spacing w:before="160" w:after="160"/>
      <w:jc w:val="center"/>
    </w:pPr>
    <w:rPr>
      <w:i/>
      <w:iCs/>
      <w:color w:val="404040" w:themeColor="text1" w:themeTint="BF"/>
    </w:rPr>
  </w:style>
  <w:style w:type="character" w:customStyle="1" w:styleId="a8">
    <w:name w:val="引用文 (文字)"/>
    <w:basedOn w:val="a0"/>
    <w:link w:val="a7"/>
    <w:uiPriority w:val="29"/>
    <w:rsid w:val="00F73FB6"/>
    <w:rPr>
      <w:i/>
      <w:iCs/>
      <w:color w:val="404040" w:themeColor="text1" w:themeTint="BF"/>
    </w:rPr>
  </w:style>
  <w:style w:type="paragraph" w:styleId="a9">
    <w:name w:val="List Paragraph"/>
    <w:basedOn w:val="a"/>
    <w:uiPriority w:val="34"/>
    <w:qFormat/>
    <w:rsid w:val="00F73FB6"/>
    <w:pPr>
      <w:ind w:left="720"/>
      <w:contextualSpacing/>
    </w:pPr>
  </w:style>
  <w:style w:type="character" w:styleId="21">
    <w:name w:val="Intense Emphasis"/>
    <w:basedOn w:val="a0"/>
    <w:uiPriority w:val="21"/>
    <w:qFormat/>
    <w:rsid w:val="00F73FB6"/>
    <w:rPr>
      <w:i/>
      <w:iCs/>
      <w:color w:val="0F4761" w:themeColor="accent1" w:themeShade="BF"/>
    </w:rPr>
  </w:style>
  <w:style w:type="paragraph" w:styleId="22">
    <w:name w:val="Intense Quote"/>
    <w:basedOn w:val="a"/>
    <w:next w:val="a"/>
    <w:link w:val="23"/>
    <w:uiPriority w:val="30"/>
    <w:qFormat/>
    <w:rsid w:val="00F73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73FB6"/>
    <w:rPr>
      <w:i/>
      <w:iCs/>
      <w:color w:val="0F4761" w:themeColor="accent1" w:themeShade="BF"/>
    </w:rPr>
  </w:style>
  <w:style w:type="character" w:styleId="24">
    <w:name w:val="Intense Reference"/>
    <w:basedOn w:val="a0"/>
    <w:uiPriority w:val="32"/>
    <w:qFormat/>
    <w:rsid w:val="00F73FB6"/>
    <w:rPr>
      <w:b/>
      <w:bCs/>
      <w:smallCaps/>
      <w:color w:val="0F4761" w:themeColor="accent1" w:themeShade="BF"/>
      <w:spacing w:val="5"/>
    </w:rPr>
  </w:style>
  <w:style w:type="character" w:styleId="aa">
    <w:name w:val="Strong"/>
    <w:basedOn w:val="a0"/>
    <w:uiPriority w:val="22"/>
    <w:qFormat/>
    <w:rsid w:val="00F73FB6"/>
    <w:rPr>
      <w:b/>
      <w:bCs/>
    </w:rPr>
  </w:style>
  <w:style w:type="character" w:styleId="ab">
    <w:name w:val="Emphasis"/>
    <w:basedOn w:val="a0"/>
    <w:uiPriority w:val="20"/>
    <w:qFormat/>
    <w:rsid w:val="00F73F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677002">
      <w:bodyDiv w:val="1"/>
      <w:marLeft w:val="0"/>
      <w:marRight w:val="0"/>
      <w:marTop w:val="0"/>
      <w:marBottom w:val="0"/>
      <w:divBdr>
        <w:top w:val="none" w:sz="0" w:space="0" w:color="auto"/>
        <w:left w:val="none" w:sz="0" w:space="0" w:color="auto"/>
        <w:bottom w:val="none" w:sz="0" w:space="0" w:color="auto"/>
        <w:right w:val="none" w:sz="0" w:space="0" w:color="auto"/>
      </w:divBdr>
    </w:div>
    <w:div w:id="1577477680">
      <w:bodyDiv w:val="1"/>
      <w:marLeft w:val="0"/>
      <w:marRight w:val="0"/>
      <w:marTop w:val="0"/>
      <w:marBottom w:val="0"/>
      <w:divBdr>
        <w:top w:val="none" w:sz="0" w:space="0" w:color="auto"/>
        <w:left w:val="none" w:sz="0" w:space="0" w:color="auto"/>
        <w:bottom w:val="none" w:sz="0" w:space="0" w:color="auto"/>
        <w:right w:val="none" w:sz="0" w:space="0" w:color="auto"/>
      </w:divBdr>
    </w:div>
    <w:div w:id="183606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1571</Words>
  <Characters>8959</Characters>
  <Application>Microsoft Office Word</Application>
  <DocSecurity>0</DocSecurity>
  <Lines>74</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2025-05-09T06:19:00Z</dcterms:created>
  <dcterms:modified xsi:type="dcterms:W3CDTF">2025-05-09T06:19:00Z</dcterms:modified>
</cp:coreProperties>
</file>